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both"/>
        <w:rPr>
          <w:rFonts w:ascii="Century Gothic" w:hAnsi="Century Gothic"/>
          <w:sz w:val="20"/>
          <w:szCs w:val="20"/>
        </w:rPr>
      </w:pPr>
      <w:r>
        <w:rPr>
          <w:rFonts w:ascii="Century Gothic" w:hAnsi="Century Gothic"/>
          <w:sz w:val="20"/>
          <w:szCs w:val="20"/>
        </w:rPr>
      </w:r>
    </w:p>
    <w:tbl>
      <w:tblPr>
        <w:tblW w:w="9925" w:type="dxa"/>
        <w:jc w:val="left"/>
        <w:tblInd w:w="360" w:type="dxa"/>
        <w:tblBorders/>
        <w:tblCellMar>
          <w:top w:w="0" w:type="dxa"/>
          <w:left w:w="108" w:type="dxa"/>
          <w:bottom w:w="0" w:type="dxa"/>
          <w:right w:w="108" w:type="dxa"/>
        </w:tblCellMar>
        <w:tblLook w:val="04a0"/>
      </w:tblPr>
      <w:tblGrid>
        <w:gridCol w:w="5436"/>
        <w:gridCol w:w="4488"/>
      </w:tblGrid>
      <w:tr>
        <w:trPr/>
        <w:tc>
          <w:tcPr>
            <w:tcW w:w="5436" w:type="dxa"/>
            <w:tcBorders/>
            <w:shd w:fill="auto" w:val="clear"/>
          </w:tcPr>
          <w:p>
            <w:pPr>
              <w:pStyle w:val="Normal"/>
              <w:spacing w:lineRule="auto" w:line="276" w:before="0" w:after="0"/>
              <w:jc w:val="both"/>
              <w:rPr>
                <w:rFonts w:ascii="Century Gothic" w:hAnsi="Century Gothic"/>
                <w:sz w:val="20"/>
                <w:szCs w:val="20"/>
              </w:rPr>
            </w:pPr>
            <w:r>
              <w:rPr>
                <w:rFonts w:ascii="Century Gothic" w:hAnsi="Century Gothic"/>
                <w:b/>
                <w:bCs/>
                <w:sz w:val="20"/>
                <w:szCs w:val="20"/>
              </w:rPr>
              <w:t xml:space="preserve">ΕΛΛΗΝΙΚΗ ΔΗΜΟΚΡΑΤΙΑ </w:t>
            </w:r>
          </w:p>
          <w:p>
            <w:pPr>
              <w:pStyle w:val="Normal"/>
              <w:spacing w:lineRule="auto" w:line="276" w:before="0" w:after="0"/>
              <w:jc w:val="both"/>
              <w:rPr>
                <w:rFonts w:ascii="Century Gothic" w:hAnsi="Century Gothic"/>
                <w:sz w:val="20"/>
                <w:szCs w:val="20"/>
              </w:rPr>
            </w:pPr>
            <w:r>
              <w:rPr>
                <w:rFonts w:ascii="Century Gothic" w:hAnsi="Century Gothic"/>
                <w:b/>
                <w:bCs/>
                <w:sz w:val="20"/>
                <w:szCs w:val="20"/>
              </w:rPr>
              <w:t xml:space="preserve">ΝΟΜΟΣ: </w:t>
            </w:r>
            <w:r>
              <w:rPr>
                <w:rFonts w:ascii="Century Gothic" w:hAnsi="Century Gothic"/>
                <w:b/>
                <w:bCs/>
                <w:sz w:val="20"/>
                <w:szCs w:val="20"/>
                <w:lang w:val="el-GR"/>
              </w:rPr>
              <w:t>ΒΟΙΩΤΙΑΣ</w:t>
            </w:r>
          </w:p>
          <w:p>
            <w:pPr>
              <w:pStyle w:val="Normal"/>
              <w:spacing w:lineRule="auto" w:line="276" w:before="0" w:after="0"/>
              <w:jc w:val="both"/>
              <w:rPr>
                <w:rFonts w:ascii="Century Gothic" w:hAnsi="Century Gothic"/>
                <w:sz w:val="20"/>
                <w:szCs w:val="20"/>
              </w:rPr>
            </w:pPr>
            <w:r>
              <w:rPr>
                <w:rFonts w:ascii="Century Gothic" w:hAnsi="Century Gothic"/>
                <w:b/>
                <w:bCs/>
                <w:sz w:val="20"/>
                <w:szCs w:val="20"/>
              </w:rPr>
              <w:t>ΔΗΜΟΣ:ΛΕΒΑΔΕΩΝ</w:t>
            </w:r>
          </w:p>
          <w:p>
            <w:pPr>
              <w:pStyle w:val="Normal"/>
              <w:spacing w:lineRule="auto" w:line="276" w:before="0" w:after="0"/>
              <w:jc w:val="both"/>
              <w:rPr>
                <w:rFonts w:ascii="Century Gothic" w:hAnsi="Century Gothic"/>
                <w:b/>
                <w:b/>
                <w:bCs/>
                <w:sz w:val="20"/>
                <w:szCs w:val="20"/>
              </w:rPr>
            </w:pPr>
            <w:r>
              <w:rPr>
                <w:rFonts w:ascii="Century Gothic" w:hAnsi="Century Gothic"/>
                <w:b/>
                <w:bCs/>
                <w:sz w:val="20"/>
                <w:szCs w:val="20"/>
              </w:rPr>
            </w:r>
          </w:p>
        </w:tc>
        <w:tc>
          <w:tcPr>
            <w:tcW w:w="4488" w:type="dxa"/>
            <w:tcBorders/>
            <w:shd w:fill="auto" w:val="clear"/>
          </w:tcPr>
          <w:p>
            <w:pPr>
              <w:pStyle w:val="Normal"/>
              <w:spacing w:lineRule="auto" w:line="276" w:before="0" w:after="0"/>
              <w:jc w:val="both"/>
              <w:rPr/>
            </w:pPr>
            <w:r>
              <w:rPr>
                <w:rFonts w:ascii="Century Gothic" w:hAnsi="Century Gothic"/>
                <w:b/>
                <w:bCs/>
                <w:sz w:val="20"/>
                <w:szCs w:val="20"/>
              </w:rPr>
              <w:t>Αρ. Πρωτ. 28983</w:t>
            </w:r>
          </w:p>
          <w:p>
            <w:pPr>
              <w:pStyle w:val="Normal"/>
              <w:spacing w:lineRule="auto" w:line="276" w:before="0" w:after="0"/>
              <w:jc w:val="both"/>
              <w:rPr/>
            </w:pPr>
            <w:r>
              <w:rPr>
                <w:rFonts w:ascii="Century Gothic" w:hAnsi="Century Gothic"/>
                <w:b/>
                <w:bCs/>
                <w:sz w:val="20"/>
                <w:szCs w:val="20"/>
              </w:rPr>
              <w:t>24/11/2016</w:t>
            </w:r>
          </w:p>
          <w:p>
            <w:pPr>
              <w:pStyle w:val="Normal"/>
              <w:spacing w:lineRule="auto" w:line="276" w:before="0" w:after="0"/>
              <w:jc w:val="both"/>
              <w:rPr>
                <w:rFonts w:ascii="Century Gothic" w:hAnsi="Century Gothic"/>
                <w:b/>
                <w:b/>
                <w:bCs/>
                <w:sz w:val="20"/>
                <w:szCs w:val="20"/>
              </w:rPr>
            </w:pPr>
            <w:r>
              <w:rPr>
                <w:rFonts w:ascii="Century Gothic" w:hAnsi="Century Gothic"/>
                <w:b/>
                <w:bCs/>
                <w:sz w:val="20"/>
                <w:szCs w:val="20"/>
              </w:rPr>
            </w:r>
          </w:p>
          <w:p>
            <w:pPr>
              <w:pStyle w:val="Normal"/>
              <w:snapToGrid w:val="false"/>
              <w:spacing w:lineRule="auto" w:line="276" w:before="0" w:after="0"/>
              <w:jc w:val="both"/>
              <w:rPr>
                <w:rFonts w:ascii="Century Gothic" w:hAnsi="Century Gothic"/>
                <w:b/>
                <w:b/>
                <w:bCs/>
                <w:sz w:val="20"/>
                <w:szCs w:val="20"/>
              </w:rPr>
            </w:pPr>
            <w:r>
              <w:rPr>
                <w:rFonts w:ascii="Century Gothic" w:hAnsi="Century Gothic"/>
                <w:b/>
                <w:bCs/>
                <w:sz w:val="20"/>
                <w:szCs w:val="20"/>
              </w:rPr>
            </w:r>
          </w:p>
        </w:tc>
      </w:tr>
    </w:tbl>
    <w:p>
      <w:pPr>
        <w:pStyle w:val="Normal"/>
        <w:spacing w:lineRule="auto" w:line="276" w:before="0" w:after="0"/>
        <w:jc w:val="both"/>
        <w:rPr>
          <w:rFonts w:ascii="Century Gothic" w:hAnsi="Century Gothic"/>
          <w:sz w:val="20"/>
          <w:szCs w:val="20"/>
        </w:rPr>
      </w:pPr>
      <w:r>
        <w:rPr>
          <w:rFonts w:ascii="Century Gothic" w:hAnsi="Century Gothic"/>
          <w:sz w:val="20"/>
          <w:szCs w:val="20"/>
        </w:rPr>
      </w:r>
    </w:p>
    <w:p>
      <w:pPr>
        <w:pStyle w:val="Normal"/>
        <w:spacing w:lineRule="auto" w:line="276" w:before="0" w:after="0"/>
        <w:jc w:val="center"/>
        <w:rPr/>
      </w:pPr>
      <w:r>
        <w:rPr>
          <w:rFonts w:ascii="Century Gothic" w:hAnsi="Century Gothic"/>
          <w:b/>
          <w:sz w:val="20"/>
          <w:szCs w:val="20"/>
        </w:rPr>
        <w:t xml:space="preserve"> </w:t>
      </w:r>
      <w:r>
        <w:rPr>
          <w:rFonts w:ascii="Century Gothic" w:hAnsi="Century Gothic"/>
          <w:b/>
          <w:sz w:val="20"/>
          <w:szCs w:val="20"/>
        </w:rPr>
        <w:t>ΔΙΑΚΗΡΥΞΗ ΣΥΝΟΠΤΙΚΟΥ ΔΙΑΓΩΝΙΣΜΟΥ</w:t>
      </w:r>
    </w:p>
    <w:p>
      <w:pPr>
        <w:pStyle w:val="Normal"/>
        <w:spacing w:lineRule="auto" w:line="276" w:before="0" w:after="0"/>
        <w:jc w:val="center"/>
        <w:rPr>
          <w:rFonts w:ascii="Century Gothic" w:hAnsi="Century Gothic"/>
          <w:sz w:val="20"/>
          <w:szCs w:val="20"/>
        </w:rPr>
      </w:pPr>
      <w:r>
        <w:rPr>
          <w:rFonts w:ascii="Century Gothic" w:hAnsi="Century Gothic"/>
          <w:b/>
          <w:sz w:val="20"/>
          <w:szCs w:val="20"/>
        </w:rPr>
        <w:t>ΓΙΑ ΤΗΝ ΕΠΙΛΟΓΗ ΑΝΑΔΟΧΟΥ ΥΠΗΡΕΣΙΑΣ</w:t>
      </w:r>
    </w:p>
    <w:p>
      <w:pPr>
        <w:pStyle w:val="Normal"/>
        <w:spacing w:lineRule="auto" w:line="276" w:before="0" w:after="0"/>
        <w:jc w:val="center"/>
        <w:rPr>
          <w:rFonts w:ascii="Century Gothic" w:hAnsi="Century Gothic"/>
          <w:sz w:val="20"/>
          <w:szCs w:val="20"/>
        </w:rPr>
      </w:pPr>
      <w:r>
        <w:rPr>
          <w:rFonts w:ascii="Century Gothic" w:hAnsi="Century Gothic"/>
          <w:sz w:val="20"/>
          <w:szCs w:val="20"/>
        </w:rPr>
      </w:r>
    </w:p>
    <w:p>
      <w:pPr>
        <w:pStyle w:val="Normal"/>
        <w:spacing w:lineRule="auto" w:line="276" w:before="0" w:after="0"/>
        <w:jc w:val="center"/>
        <w:rPr>
          <w:rFonts w:ascii="Century Gothic" w:hAnsi="Century Gothic"/>
          <w:sz w:val="20"/>
          <w:szCs w:val="20"/>
        </w:rPr>
      </w:pPr>
      <w:r>
        <w:rPr>
          <w:rFonts w:ascii="Century Gothic" w:hAnsi="Century Gothic"/>
          <w:b/>
          <w:sz w:val="20"/>
          <w:szCs w:val="20"/>
        </w:rPr>
        <w:t>Η ΔΗΜΑΡΧΟΣ</w:t>
      </w:r>
      <w:r>
        <w:rPr>
          <w:rFonts w:ascii="Century Gothic" w:hAnsi="Century Gothic"/>
          <w:sz w:val="20"/>
          <w:szCs w:val="20"/>
        </w:rPr>
        <w:t xml:space="preserve"> </w:t>
      </w:r>
      <w:r>
        <w:rPr>
          <w:rFonts w:ascii="Century Gothic" w:hAnsi="Century Gothic"/>
          <w:b/>
          <w:bCs/>
          <w:sz w:val="20"/>
          <w:szCs w:val="20"/>
        </w:rPr>
        <w:t>ΛΕΒΑΔΕΩΝ</w:t>
      </w:r>
    </w:p>
    <w:p>
      <w:pPr>
        <w:pStyle w:val="Normal"/>
        <w:spacing w:lineRule="auto" w:line="276" w:before="0" w:after="0"/>
        <w:jc w:val="center"/>
        <w:rPr>
          <w:rFonts w:ascii="Century Gothic" w:hAnsi="Century Gothic"/>
          <w:sz w:val="20"/>
          <w:szCs w:val="20"/>
        </w:rPr>
      </w:pPr>
      <w:r>
        <w:rPr>
          <w:rFonts w:ascii="Century Gothic" w:hAnsi="Century Gothic"/>
          <w:sz w:val="20"/>
          <w:szCs w:val="20"/>
        </w:rPr>
      </w:r>
    </w:p>
    <w:p>
      <w:pPr>
        <w:pStyle w:val="Normal"/>
        <w:spacing w:lineRule="auto" w:line="276" w:before="0" w:after="0"/>
        <w:jc w:val="center"/>
        <w:rPr>
          <w:rFonts w:ascii="Century Gothic" w:hAnsi="Century Gothic"/>
          <w:sz w:val="20"/>
          <w:szCs w:val="20"/>
        </w:rPr>
      </w:pPr>
      <w:r>
        <w:rPr>
          <w:rFonts w:ascii="Century Gothic" w:hAnsi="Century Gothic"/>
          <w:b/>
          <w:sz w:val="20"/>
          <w:szCs w:val="20"/>
        </w:rPr>
        <w:t>δ ι α κ η ρ ύ σ σ ε ι</w:t>
      </w:r>
    </w:p>
    <w:p>
      <w:pPr>
        <w:pStyle w:val="Normal"/>
        <w:spacing w:lineRule="auto" w:line="360" w:before="0" w:after="0"/>
        <w:jc w:val="both"/>
        <w:rPr>
          <w:rFonts w:ascii="Century Gothic" w:hAnsi="Century Gothic"/>
          <w:b/>
          <w:b/>
          <w:sz w:val="20"/>
          <w:szCs w:val="20"/>
        </w:rPr>
      </w:pPr>
      <w:r>
        <w:rPr>
          <w:rFonts w:ascii="Century Gothic" w:hAnsi="Century Gothic"/>
          <w:b/>
          <w:sz w:val="20"/>
          <w:szCs w:val="20"/>
        </w:rPr>
      </w:r>
    </w:p>
    <w:p>
      <w:pPr>
        <w:pStyle w:val="Normal"/>
        <w:spacing w:lineRule="auto" w:line="360" w:before="0" w:after="0"/>
        <w:jc w:val="both"/>
        <w:rPr/>
      </w:pPr>
      <w:r>
        <w:rPr>
          <w:rFonts w:ascii="Century Gothic" w:hAnsi="Century Gothic"/>
          <w:sz w:val="20"/>
          <w:szCs w:val="20"/>
        </w:rPr>
        <w:t>Την με συνοπτικό διαγωνισμό επιλογή αναδόχου για  την εκτέλεση της υπηρεσίας Ηχητική και Φωτιστική Κάλυψη εκδηλώσεων εορτασμού Χριστουγέννων και Πρωτοχρονιάς</w:t>
      </w:r>
    </w:p>
    <w:p>
      <w:pPr>
        <w:pStyle w:val="Normal"/>
        <w:spacing w:lineRule="auto" w:line="360" w:before="0" w:after="0"/>
        <w:jc w:val="both"/>
        <w:rPr>
          <w:rFonts w:ascii="Century Gothic" w:hAnsi="Century Gothic"/>
          <w:sz w:val="20"/>
          <w:szCs w:val="20"/>
        </w:rPr>
      </w:pPr>
      <w:r>
        <w:rPr>
          <w:rFonts w:ascii="Century Gothic" w:hAnsi="Century Gothic"/>
          <w:b/>
          <w:sz w:val="20"/>
          <w:szCs w:val="20"/>
        </w:rPr>
        <w:t>Προϋπολογισμού 6.499,99 Ευρώ (με Φ.Π.Α. 24%)</w:t>
      </w:r>
      <w:r>
        <w:rPr>
          <w:rFonts w:ascii="Century Gothic" w:hAnsi="Century Gothic"/>
          <w:sz w:val="20"/>
          <w:szCs w:val="20"/>
        </w:rPr>
        <w:t>,</w:t>
      </w:r>
    </w:p>
    <w:p>
      <w:pPr>
        <w:pStyle w:val="Normal"/>
        <w:spacing w:lineRule="auto" w:line="360" w:before="0" w:after="0"/>
        <w:jc w:val="both"/>
        <w:rPr>
          <w:rFonts w:ascii="Century Gothic" w:hAnsi="Century Gothic"/>
          <w:sz w:val="20"/>
          <w:szCs w:val="20"/>
        </w:rPr>
      </w:pPr>
      <w:r>
        <w:rPr>
          <w:rFonts w:ascii="Century Gothic" w:hAnsi="Century Gothic"/>
          <w:sz w:val="20"/>
          <w:szCs w:val="20"/>
        </w:rPr>
        <w:t>που θα διεξαχθεί σύμφωνα με:</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α) τις διατάξεις του Ν. 4412/2016 και ιδίως των άρθρων 116 και 117 </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β) τις διατάξεις </w:t>
      </w:r>
      <w:r>
        <w:rPr>
          <w:rFonts w:ascii="Century Gothic" w:hAnsi="Century Gothic"/>
          <w:bCs/>
          <w:sz w:val="20"/>
          <w:szCs w:val="20"/>
        </w:rPr>
        <w:t>του</w:t>
      </w:r>
      <w:r>
        <w:rPr>
          <w:rFonts w:ascii="Century Gothic" w:hAnsi="Century Gothic"/>
          <w:b/>
          <w:bCs/>
          <w:sz w:val="20"/>
          <w:szCs w:val="20"/>
        </w:rPr>
        <w:t xml:space="preserve"> </w:t>
      </w:r>
      <w:r>
        <w:rPr>
          <w:rFonts w:ascii="Century Gothic" w:hAnsi="Century Gothic"/>
          <w:bCs/>
          <w:sz w:val="20"/>
          <w:szCs w:val="20"/>
        </w:rPr>
        <w:t>άρθρου 209 του Ν.3463/2006</w:t>
      </w:r>
    </w:p>
    <w:p>
      <w:pPr>
        <w:pStyle w:val="Normal"/>
        <w:spacing w:lineRule="auto" w:line="360" w:before="0" w:after="0"/>
        <w:jc w:val="both"/>
        <w:rPr/>
      </w:pPr>
      <w:r>
        <w:rPr>
          <w:rFonts w:ascii="Century Gothic" w:hAnsi="Century Gothic"/>
          <w:bCs/>
          <w:sz w:val="20"/>
          <w:szCs w:val="20"/>
        </w:rPr>
        <w:t>γ) τη</w:t>
      </w:r>
      <w:r>
        <w:rPr>
          <w:rFonts w:ascii="Century Gothic" w:hAnsi="Century Gothic"/>
          <w:b w:val="false"/>
          <w:bCs w:val="false"/>
          <w:color w:val="00000A"/>
          <w:sz w:val="20"/>
          <w:szCs w:val="20"/>
        </w:rPr>
        <w:t>ν υπ’ αριθ.  462/2016 απόφαση του</w:t>
      </w:r>
      <w:r>
        <w:rPr>
          <w:rFonts w:ascii="Century Gothic" w:hAnsi="Century Gothic"/>
          <w:b/>
          <w:bCs/>
          <w:color w:val="FF3333"/>
          <w:sz w:val="20"/>
          <w:szCs w:val="20"/>
        </w:rPr>
        <w:t xml:space="preserve"> </w:t>
      </w:r>
      <w:r>
        <w:rPr>
          <w:rFonts w:ascii="Century Gothic" w:hAnsi="Century Gothic"/>
          <w:bCs/>
          <w:sz w:val="20"/>
          <w:szCs w:val="20"/>
        </w:rPr>
        <w:t xml:space="preserve">Δημοτικού Συμβουλίου με την οποία διατέθηκε η πίστωση  </w:t>
      </w:r>
      <w:r>
        <w:rPr>
          <w:rFonts w:eastAsia="SimSun" w:cs="Verdana" w:ascii="Century Gothic" w:hAnsi="Century Gothic"/>
          <w:b w:val="false"/>
          <w:bCs w:val="false"/>
          <w:color w:val="00000A"/>
          <w:sz w:val="20"/>
          <w:szCs w:val="20"/>
          <w:lang w:val="el-GR" w:eastAsia="zh-CN" w:bidi="ar-SA"/>
        </w:rPr>
        <w:t>για την  εκτέλεση της υπηρεσίας Ηχητική και Φωτιστική Κάλυψη εκδηλώσεων εορτασμού Χριστουγέννων και Πρωτοχρονιάς</w:t>
      </w:r>
    </w:p>
    <w:p>
      <w:pPr>
        <w:pStyle w:val="Normal"/>
        <w:spacing w:lineRule="auto" w:line="360" w:before="0" w:after="0"/>
        <w:jc w:val="both"/>
        <w:rPr/>
      </w:pPr>
      <w:r>
        <w:rPr>
          <w:rFonts w:ascii="Century Gothic" w:hAnsi="Century Gothic"/>
          <w:bCs/>
          <w:sz w:val="20"/>
          <w:szCs w:val="20"/>
        </w:rPr>
        <w:t xml:space="preserve">δ) </w:t>
      </w:r>
      <w:r>
        <w:rPr>
          <w:rFonts w:ascii="Century Gothic" w:hAnsi="Century Gothic"/>
          <w:b/>
          <w:bCs/>
          <w:color w:val="800000"/>
          <w:sz w:val="20"/>
          <w:szCs w:val="20"/>
        </w:rPr>
        <w:t>τ</w:t>
      </w:r>
      <w:r>
        <w:rPr>
          <w:rFonts w:ascii="Century Gothic" w:hAnsi="Century Gothic"/>
          <w:b w:val="false"/>
          <w:bCs w:val="false"/>
          <w:color w:val="00000A"/>
          <w:sz w:val="20"/>
          <w:szCs w:val="20"/>
        </w:rPr>
        <w:t>ην υπ’ αριθ. 330/2016 απόφαση της</w:t>
      </w:r>
      <w:r>
        <w:rPr>
          <w:rFonts w:ascii="Century Gothic" w:hAnsi="Century Gothic"/>
          <w:sz w:val="20"/>
          <w:szCs w:val="20"/>
        </w:rPr>
        <w:t xml:space="preserve"> Οικονομικής Επιτροπής με την οποία  αποφασίστηκε η διενέργεια συνοπτικού διαγωνισμού για την εκτέλεση της προμήθειας/υπηρεσίας, εγκρίθηκαν οι τεχνικές προδιαγραφές και καθορίστηκαν οι όροι του διαγωνισμού και</w:t>
      </w:r>
    </w:p>
    <w:p>
      <w:pPr>
        <w:pStyle w:val="Normal"/>
        <w:spacing w:lineRule="auto" w:line="360" w:before="0" w:after="0"/>
        <w:jc w:val="both"/>
        <w:rPr>
          <w:rFonts w:ascii="Century Gothic" w:hAnsi="Century Gothic"/>
          <w:sz w:val="20"/>
          <w:szCs w:val="20"/>
        </w:rPr>
      </w:pPr>
      <w:r>
        <w:rPr>
          <w:rFonts w:ascii="Century Gothic" w:hAnsi="Century Gothic"/>
          <w:sz w:val="20"/>
          <w:szCs w:val="20"/>
        </w:rPr>
        <w:t>ε) τους όρους της παρούσας και</w:t>
      </w:r>
    </w:p>
    <w:p>
      <w:pPr>
        <w:pStyle w:val="Normal"/>
        <w:spacing w:lineRule="auto" w:line="360" w:before="0" w:after="0"/>
        <w:jc w:val="center"/>
        <w:rPr>
          <w:rFonts w:ascii="Century Gothic" w:hAnsi="Century Gothic"/>
          <w:sz w:val="20"/>
          <w:szCs w:val="20"/>
        </w:rPr>
      </w:pPr>
      <w:r>
        <w:rPr>
          <w:rFonts w:ascii="Century Gothic" w:hAnsi="Century Gothic"/>
          <w:b/>
          <w:sz w:val="20"/>
          <w:szCs w:val="20"/>
        </w:rPr>
        <w:t>καλεί</w:t>
      </w:r>
    </w:p>
    <w:p>
      <w:pPr>
        <w:pStyle w:val="Normal"/>
        <w:spacing w:lineRule="auto" w:line="360" w:before="0" w:after="0"/>
        <w:jc w:val="both"/>
        <w:rPr>
          <w:rFonts w:ascii="Century Gothic" w:hAnsi="Century Gothic"/>
          <w:sz w:val="20"/>
          <w:szCs w:val="20"/>
        </w:rPr>
      </w:pPr>
      <w:r>
        <w:rPr>
          <w:rFonts w:ascii="Century Gothic" w:hAnsi="Century Gothic"/>
          <w:sz w:val="20"/>
          <w:szCs w:val="20"/>
        </w:rPr>
        <w:t>τους ενδιαφερόμενους οικονομικούς φορείς να υποβάλουν προσφορά για την ανάδειξη αναδόχου  εκτέλεσης της ανωτέρω υπηρεσίας.</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1: Αναθέτουσα Αρχή - Στοιχεία επικοινωνίας</w:t>
      </w:r>
    </w:p>
    <w:p>
      <w:pPr>
        <w:pStyle w:val="Normal"/>
        <w:spacing w:lineRule="auto" w:line="360" w:before="0" w:after="0"/>
        <w:jc w:val="both"/>
        <w:rPr>
          <w:rFonts w:ascii="Century Gothic" w:hAnsi="Century Gothic"/>
          <w:sz w:val="20"/>
          <w:szCs w:val="20"/>
        </w:rPr>
      </w:pPr>
      <w:r>
        <w:rPr>
          <w:rFonts w:ascii="Century Gothic" w:hAnsi="Century Gothic"/>
          <w:sz w:val="20"/>
          <w:szCs w:val="20"/>
        </w:rPr>
        <w:t>Αναθέτουσα αρχή: ΔΗΜΟΣ ΛΕΒΑΔΕΩΝ</w:t>
      </w:r>
    </w:p>
    <w:p>
      <w:pPr>
        <w:pStyle w:val="Normal"/>
        <w:spacing w:lineRule="auto" w:line="360" w:before="0" w:after="0"/>
        <w:jc w:val="both"/>
        <w:rPr>
          <w:rFonts w:ascii="Century Gothic" w:hAnsi="Century Gothic"/>
          <w:sz w:val="20"/>
          <w:szCs w:val="20"/>
        </w:rPr>
      </w:pPr>
      <w:r>
        <w:rPr>
          <w:rFonts w:ascii="Century Gothic" w:hAnsi="Century Gothic"/>
          <w:sz w:val="20"/>
          <w:szCs w:val="20"/>
        </w:rPr>
        <w:t>Οδός:ΣΟΦΟΚΛΕΟΥΣ 15</w:t>
      </w:r>
    </w:p>
    <w:p>
      <w:pPr>
        <w:pStyle w:val="Normal"/>
        <w:spacing w:lineRule="auto" w:line="360" w:before="0" w:after="0"/>
        <w:jc w:val="both"/>
        <w:rPr>
          <w:rFonts w:ascii="Century Gothic" w:hAnsi="Century Gothic"/>
          <w:sz w:val="20"/>
          <w:szCs w:val="20"/>
        </w:rPr>
      </w:pPr>
      <w:r>
        <w:rPr>
          <w:rFonts w:ascii="Century Gothic" w:hAnsi="Century Gothic"/>
          <w:sz w:val="20"/>
          <w:szCs w:val="20"/>
        </w:rPr>
        <w:t>Ταχ.Κωδ.:32131</w:t>
      </w:r>
    </w:p>
    <w:p>
      <w:pPr>
        <w:pStyle w:val="Normal"/>
        <w:spacing w:lineRule="auto" w:line="360" w:before="0" w:after="0"/>
        <w:jc w:val="both"/>
        <w:rPr>
          <w:rFonts w:ascii="Century Gothic" w:hAnsi="Century Gothic"/>
          <w:sz w:val="20"/>
          <w:szCs w:val="20"/>
        </w:rPr>
      </w:pPr>
      <w:r>
        <w:rPr>
          <w:rFonts w:ascii="Century Gothic" w:hAnsi="Century Gothic"/>
          <w:sz w:val="20"/>
          <w:szCs w:val="20"/>
        </w:rPr>
        <w:t>Τηλ.:2261350829</w:t>
      </w:r>
    </w:p>
    <w:p>
      <w:pPr>
        <w:pStyle w:val="Normal"/>
        <w:spacing w:lineRule="auto" w:line="360" w:before="0" w:after="0"/>
        <w:jc w:val="both"/>
        <w:rPr>
          <w:rFonts w:ascii="Century Gothic" w:hAnsi="Century Gothic"/>
          <w:sz w:val="20"/>
          <w:szCs w:val="20"/>
        </w:rPr>
      </w:pPr>
      <w:r>
        <w:rPr>
          <w:rFonts w:ascii="Century Gothic" w:hAnsi="Century Gothic"/>
          <w:sz w:val="20"/>
          <w:szCs w:val="20"/>
          <w:lang w:val="en-US"/>
        </w:rPr>
        <w:t>Telefax</w:t>
      </w:r>
      <w:r>
        <w:rPr>
          <w:rFonts w:ascii="Century Gothic" w:hAnsi="Century Gothic"/>
          <w:sz w:val="20"/>
          <w:szCs w:val="20"/>
        </w:rPr>
        <w:t>:2261350881</w:t>
      </w:r>
    </w:p>
    <w:p>
      <w:pPr>
        <w:pStyle w:val="Normal"/>
        <w:spacing w:lineRule="auto" w:line="360" w:before="0" w:after="0"/>
        <w:jc w:val="both"/>
        <w:rPr>
          <w:rFonts w:ascii="Century Gothic" w:hAnsi="Century Gothic"/>
          <w:sz w:val="20"/>
          <w:szCs w:val="20"/>
        </w:rPr>
      </w:pPr>
      <w:r>
        <w:rPr>
          <w:rFonts w:ascii="Century Gothic" w:hAnsi="Century Gothic"/>
          <w:sz w:val="20"/>
          <w:szCs w:val="20"/>
          <w:lang w:val="en-US"/>
        </w:rPr>
        <w:t>E</w:t>
      </w:r>
      <w:r>
        <w:rPr>
          <w:rFonts w:ascii="Century Gothic" w:hAnsi="Century Gothic"/>
          <w:sz w:val="20"/>
          <w:szCs w:val="20"/>
        </w:rPr>
        <w:t>-</w:t>
      </w:r>
      <w:r>
        <w:rPr>
          <w:rFonts w:ascii="Century Gothic" w:hAnsi="Century Gothic"/>
          <w:sz w:val="20"/>
          <w:szCs w:val="20"/>
          <w:lang w:val="en-US"/>
        </w:rPr>
        <w:t>mail</w:t>
      </w:r>
      <w:r>
        <w:rPr>
          <w:rFonts w:ascii="Century Gothic" w:hAnsi="Century Gothic"/>
          <w:sz w:val="20"/>
          <w:szCs w:val="20"/>
        </w:rPr>
        <w:t>:</w:t>
      </w:r>
      <w:r>
        <w:rPr>
          <w:rFonts w:ascii="Century Gothic" w:hAnsi="Century Gothic"/>
          <w:sz w:val="20"/>
          <w:szCs w:val="20"/>
          <w:lang w:val="en-US"/>
        </w:rPr>
        <w:t>info@livadia.gr</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Κωδικός </w:t>
      </w:r>
      <w:r>
        <w:rPr>
          <w:rFonts w:ascii="Century Gothic" w:hAnsi="Century Gothic"/>
          <w:sz w:val="20"/>
          <w:szCs w:val="20"/>
          <w:lang w:val="en-US"/>
        </w:rPr>
        <w:t>NUTS</w:t>
      </w:r>
      <w:r>
        <w:rPr>
          <w:rFonts w:ascii="Century Gothic" w:hAnsi="Century Gothic"/>
          <w:sz w:val="20"/>
          <w:szCs w:val="20"/>
        </w:rPr>
        <w:t>:</w:t>
      </w:r>
      <w:r>
        <w:rPr>
          <w:rFonts w:eastAsia="SimSun" w:cs="Verdana" w:ascii="Century Gothic" w:hAnsi="Century Gothic"/>
          <w:b w:val="false"/>
          <w:bCs w:val="false"/>
          <w:color w:val="00000A"/>
          <w:sz w:val="20"/>
          <w:szCs w:val="20"/>
          <w:lang w:val="en-US" w:eastAsia="zh-CN" w:bidi="ar-SA"/>
        </w:rPr>
        <w:t>3 GR241</w:t>
      </w:r>
    </w:p>
    <w:p>
      <w:pPr>
        <w:pStyle w:val="Normal"/>
        <w:spacing w:lineRule="auto" w:line="360" w:before="0" w:after="0"/>
        <w:jc w:val="both"/>
        <w:rPr>
          <w:rFonts w:ascii="Century Gothic" w:hAnsi="Century Gothic"/>
          <w:sz w:val="20"/>
          <w:szCs w:val="20"/>
        </w:rPr>
      </w:pPr>
      <w:r>
        <w:rPr>
          <w:rFonts w:ascii="Century Gothic" w:hAnsi="Century Gothic"/>
          <w:sz w:val="20"/>
          <w:szCs w:val="20"/>
        </w:rPr>
        <w:t>Ιστοσελίδα:</w:t>
      </w:r>
      <w:r>
        <w:rPr>
          <w:rFonts w:ascii="Century Gothic" w:hAnsi="Century Gothic"/>
          <w:sz w:val="20"/>
          <w:szCs w:val="20"/>
          <w:lang w:val="en-US"/>
        </w:rPr>
        <w:t>www.livadia.gr</w:t>
      </w:r>
    </w:p>
    <w:p>
      <w:pPr>
        <w:pStyle w:val="Normal"/>
        <w:spacing w:lineRule="auto" w:line="360" w:before="0" w:after="0"/>
        <w:jc w:val="both"/>
        <w:rPr/>
      </w:pPr>
      <w:r>
        <w:rPr>
          <w:rFonts w:ascii="Century Gothic" w:hAnsi="Century Gothic"/>
          <w:sz w:val="20"/>
          <w:szCs w:val="20"/>
        </w:rPr>
        <w:t xml:space="preserve">Ο διαγωνισμός θα διενεργηθεί στα γραφεία του Δήμου </w:t>
      </w:r>
      <w:r>
        <w:rPr>
          <w:rFonts w:ascii="Century Gothic" w:hAnsi="Century Gothic"/>
          <w:sz w:val="20"/>
          <w:szCs w:val="20"/>
          <w:lang w:val="el-GR"/>
        </w:rPr>
        <w:t>Λεβαδεών</w:t>
      </w:r>
      <w:r>
        <w:rPr>
          <w:rFonts w:ascii="Century Gothic" w:hAnsi="Century Gothic"/>
          <w:sz w:val="20"/>
          <w:szCs w:val="20"/>
        </w:rPr>
        <w:t xml:space="preserve">., οδός  Σοφοκέους 15, </w:t>
      </w:r>
      <w:r>
        <w:rPr>
          <w:rFonts w:ascii="Century Gothic" w:hAnsi="Century Gothic"/>
          <w:b w:val="false"/>
          <w:bCs w:val="false"/>
          <w:color w:val="00000A"/>
          <w:sz w:val="20"/>
          <w:szCs w:val="20"/>
        </w:rPr>
        <w:t xml:space="preserve">τη </w:t>
      </w:r>
      <w:r>
        <w:rPr>
          <w:rFonts w:ascii="Century Gothic" w:hAnsi="Century Gothic"/>
          <w:b w:val="false"/>
          <w:bCs w:val="false"/>
          <w:color w:val="00000A"/>
          <w:sz w:val="20"/>
          <w:szCs w:val="20"/>
          <w:lang w:val="en-US"/>
        </w:rPr>
        <w:t xml:space="preserve">8/12/2016 </w:t>
      </w:r>
      <w:r>
        <w:rPr>
          <w:rFonts w:ascii="Century Gothic" w:hAnsi="Century Gothic"/>
          <w:b w:val="false"/>
          <w:bCs w:val="false"/>
          <w:color w:val="00000A"/>
          <w:sz w:val="20"/>
          <w:szCs w:val="20"/>
        </w:rPr>
        <w:t xml:space="preserve"> ώρα 09.00 π.μ.,</w:t>
      </w:r>
      <w:r>
        <w:rPr>
          <w:rFonts w:ascii="Century Gothic" w:hAnsi="Century Gothic"/>
          <w:sz w:val="20"/>
          <w:szCs w:val="20"/>
        </w:rPr>
        <w:t xml:space="preserve"> ενώπιον της αρμόδιας Επιτροπής Διαγωνισμού.</w:t>
      </w:r>
    </w:p>
    <w:p>
      <w:pPr>
        <w:pStyle w:val="Normal"/>
        <w:spacing w:lineRule="auto" w:line="360" w:before="0" w:after="0"/>
        <w:jc w:val="both"/>
        <w:rPr>
          <w:rFonts w:ascii="Century Gothic" w:hAnsi="Century Gothic"/>
          <w:sz w:val="20"/>
          <w:szCs w:val="20"/>
        </w:rPr>
      </w:pPr>
      <w:r>
        <w:rPr>
          <w:rFonts w:ascii="Century Gothic" w:hAnsi="Century Gothic"/>
          <w:sz w:val="20"/>
          <w:szCs w:val="20"/>
        </w:rPr>
      </w:r>
    </w:p>
    <w:p>
      <w:pPr>
        <w:pStyle w:val="Normal"/>
        <w:spacing w:lineRule="auto" w:line="360" w:before="0" w:after="0"/>
        <w:jc w:val="both"/>
        <w:rPr>
          <w:rFonts w:ascii="Century Gothic" w:hAnsi="Century Gothic"/>
          <w:sz w:val="20"/>
          <w:szCs w:val="20"/>
        </w:rPr>
      </w:pPr>
      <w:r>
        <w:rPr>
          <w:rFonts w:ascii="Century Gothic" w:hAnsi="Century Gothic"/>
          <w:b/>
          <w:sz w:val="20"/>
          <w:szCs w:val="20"/>
        </w:rPr>
        <w:t xml:space="preserve">Άρθρο 2: Παραλαβή εγγράφων σύμβασης και τευχών </w:t>
      </w:r>
    </w:p>
    <w:p>
      <w:pPr>
        <w:pStyle w:val="Normal"/>
        <w:spacing w:lineRule="auto" w:line="360" w:before="0" w:after="0"/>
        <w:jc w:val="both"/>
        <w:rPr>
          <w:rFonts w:ascii="Century Gothic" w:hAnsi="Century Gothic"/>
          <w:sz w:val="20"/>
          <w:szCs w:val="20"/>
        </w:rPr>
      </w:pPr>
      <w:r>
        <w:rPr>
          <w:rFonts w:ascii="Century Gothic" w:hAnsi="Century Gothic"/>
          <w:sz w:val="20"/>
          <w:szCs w:val="20"/>
        </w:rPr>
        <w:t>1. Τα έγγραφα της σύμβασης κατά την έννοια της περιπτ. 14 της παρ. 1 του άρθρου 2 του ν. 4412/2016 για τον παρόντα διαγωνισμό είναι κατ’ ελάχιστον τα ακόλουθα:</w:t>
      </w:r>
    </w:p>
    <w:p>
      <w:pPr>
        <w:pStyle w:val="Normal"/>
        <w:spacing w:lineRule="auto" w:line="360" w:before="0" w:after="0"/>
        <w:jc w:val="both"/>
        <w:rPr/>
      </w:pPr>
      <w:r>
        <w:rPr>
          <w:rFonts w:ascii="Century Gothic" w:hAnsi="Century Gothic"/>
          <w:sz w:val="20"/>
          <w:szCs w:val="20"/>
        </w:rPr>
        <w:t xml:space="preserve">α) </w:t>
      </w:r>
      <w:r>
        <w:rPr>
          <w:rFonts w:ascii="Century Gothic" w:hAnsi="Century Gothic"/>
          <w:b w:val="false"/>
          <w:bCs w:val="false"/>
          <w:color w:val="00000A"/>
          <w:sz w:val="20"/>
          <w:szCs w:val="20"/>
        </w:rPr>
        <w:t>η με αρ. 28984 προκήρυξη σύμβασης</w:t>
      </w:r>
      <w:r>
        <w:rPr>
          <w:rFonts w:ascii="Century Gothic" w:hAnsi="Century Gothic"/>
          <w:b/>
          <w:bCs/>
          <w:color w:val="800000"/>
          <w:sz w:val="20"/>
          <w:szCs w:val="20"/>
        </w:rPr>
        <w:t>,</w:t>
      </w:r>
    </w:p>
    <w:p>
      <w:pPr>
        <w:pStyle w:val="Normal"/>
        <w:spacing w:lineRule="auto" w:line="360" w:before="0" w:after="0"/>
        <w:jc w:val="both"/>
        <w:rPr>
          <w:rFonts w:ascii="Century Gothic" w:hAnsi="Century Gothic"/>
          <w:sz w:val="20"/>
          <w:szCs w:val="20"/>
        </w:rPr>
      </w:pPr>
      <w:r>
        <w:rPr>
          <w:rFonts w:ascii="Century Gothic" w:hAnsi="Century Gothic"/>
          <w:sz w:val="20"/>
          <w:szCs w:val="20"/>
        </w:rPr>
        <w:t>β) η παρούσα διακήρυξη,</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γ) </w:t>
      </w:r>
      <w:r>
        <w:rPr>
          <w:rFonts w:ascii="Century Gothic" w:hAnsi="Century Gothic"/>
          <w:color w:val="00000A"/>
          <w:sz w:val="20"/>
          <w:szCs w:val="20"/>
        </w:rPr>
        <w:t xml:space="preserve">το τυποποιημένο έντυπο υπεύθυνης δήλωσης του άρθρου 79 παρ. 4 ν 4412/2016 </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δ) οι υπ αριθμ </w:t>
      </w:r>
      <w:bookmarkStart w:id="0" w:name="__DdeLink__1497_30632653"/>
      <w:r>
        <w:rPr>
          <w:rFonts w:ascii="Century Gothic" w:hAnsi="Century Gothic"/>
          <w:sz w:val="20"/>
          <w:szCs w:val="20"/>
        </w:rPr>
        <w:t xml:space="preserve">177/2016 τεχνικές προδιαγραφές  της Δ/νσης Κοινωνικής Προστασίας , Παιδείας και </w:t>
      </w:r>
      <w:r>
        <w:rPr>
          <w:rFonts w:ascii="Century Gothic" w:hAnsi="Century Gothic"/>
          <w:sz w:val="20"/>
          <w:szCs w:val="20"/>
          <w:lang w:val="el-GR"/>
        </w:rPr>
        <w:t>Πολιτισμού</w:t>
      </w:r>
      <w:bookmarkEnd w:id="0"/>
      <w:r>
        <w:rPr>
          <w:rFonts w:ascii="Century Gothic" w:hAnsi="Century Gothic"/>
          <w:sz w:val="20"/>
          <w:szCs w:val="20"/>
        </w:rPr>
        <w:t>.</w:t>
      </w:r>
    </w:p>
    <w:p>
      <w:pPr>
        <w:pStyle w:val="Normal"/>
        <w:spacing w:lineRule="auto" w:line="360" w:before="0" w:after="0"/>
        <w:jc w:val="both"/>
        <w:rPr>
          <w:rFonts w:ascii="Century Gothic" w:hAnsi="Century Gothic"/>
          <w:sz w:val="20"/>
          <w:szCs w:val="20"/>
        </w:rPr>
      </w:pPr>
      <w:r>
        <w:rPr>
          <w:rFonts w:ascii="Century Gothic" w:hAnsi="Century Gothic"/>
          <w:sz w:val="20"/>
          <w:szCs w:val="20"/>
        </w:rPr>
        <w:t>2.Οι ενδιαφερόμενοι μπορούν  να λάβουν γνώση των εγγράφων της σύμβασης στο γραφείο Προμηθειών κατά τις εργάσιμες ημέρες και ώρες. Μπορούν επίσης να λάβουν αντίγραφα αυτών με δαπάνες και φροντίδα τους. Οι ενδιαφερόμενοι μπορούν να παραλάβουν τα παραπάνω στοιχεία και ταχυδρομικά, εφόσον τα ζητήσουν έγκαιρα και εμβάσουν, κατόπιν συνεννόησης με την αναθέτουσα αρχή . Η αναθέτουσα αρχή αποστέλλει τα ζητηθέντα στοιχεία μέσω των Ελληνικών Ταχυδρομείων ή ιδιωτικών εταιρειών μεταφοράς αλληλογραφίας και χωρίς να φέρει ευθύνη για την έγκαιρη άφιξη τους στον ενδιαφερόμενο. Επίσης</w:t>
      </w:r>
      <w:r>
        <w:rPr>
          <w:rFonts w:eastAsia="SimSun" w:cs="Verdana" w:ascii="Century Gothic" w:hAnsi="Century Gothic"/>
          <w:color w:val="00000A"/>
          <w:sz w:val="20"/>
          <w:szCs w:val="20"/>
          <w:lang w:val="el-GR" w:eastAsia="zh-CN" w:bidi="ar-SA"/>
        </w:rPr>
        <w:t xml:space="preserve"> περίληψη της παρούσης θα τοιχοκολληθεί στον πίνακα ανακοινώσεων του Δημοτικού καταστήματος και θα αναρτηθεί και στο site του Δήμου </w:t>
      </w:r>
    </w:p>
    <w:p>
      <w:pPr>
        <w:pStyle w:val="Normal"/>
        <w:spacing w:lineRule="auto" w:line="360" w:before="0" w:after="0"/>
        <w:jc w:val="both"/>
        <w:rPr>
          <w:rFonts w:ascii="Century Gothic" w:hAnsi="Century Gothic"/>
          <w:sz w:val="20"/>
          <w:szCs w:val="20"/>
        </w:rPr>
      </w:pPr>
      <w:r>
        <w:rPr>
          <w:rFonts w:ascii="Century Gothic" w:hAnsi="Century Gothic"/>
          <w:sz w:val="20"/>
          <w:szCs w:val="20"/>
        </w:rPr>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3: Αντικείμενο του διαγωνισμού</w:t>
      </w:r>
    </w:p>
    <w:p>
      <w:pPr>
        <w:pStyle w:val="Normal"/>
        <w:spacing w:lineRule="auto" w:line="360" w:before="0" w:after="0"/>
        <w:jc w:val="both"/>
        <w:rPr>
          <w:rFonts w:ascii="Century Gothic" w:hAnsi="Century Gothic"/>
          <w:sz w:val="20"/>
          <w:szCs w:val="20"/>
        </w:rPr>
      </w:pPr>
      <w:r>
        <w:rPr>
          <w:rFonts w:ascii="Century Gothic" w:hAnsi="Century Gothic"/>
          <w:sz w:val="20"/>
          <w:szCs w:val="20"/>
        </w:rPr>
        <w:t>1. Ο διαγωνισμός αφορά την υπηρεσία Ηχητική και Φωτιστική Κάλυψη εκδηλώσεων εορτασμού Χριστουγέννων και Πρωτοχρονιάς, όπως περιγράφεται στις 177/2016 τεχνικές προδιαγραφές που αποτελούν αναπόσπαστο τμήμα της παρούσας.</w:t>
      </w:r>
    </w:p>
    <w:p>
      <w:pPr>
        <w:pStyle w:val="Normal"/>
        <w:spacing w:lineRule="auto" w:line="360" w:before="0" w:after="0"/>
        <w:jc w:val="both"/>
        <w:rPr/>
      </w:pPr>
      <w:r>
        <w:rPr>
          <w:rFonts w:ascii="Century Gothic" w:hAnsi="Century Gothic"/>
          <w:sz w:val="20"/>
          <w:szCs w:val="20"/>
        </w:rPr>
        <w:t>2. Δε γίνονται δεκτές προσφορές για μέρος του αντικειμένου της σύμβασης</w:t>
      </w:r>
      <w:r>
        <w:rPr>
          <w:rStyle w:val="Style15"/>
          <w:rFonts w:ascii="Century Gothic" w:hAnsi="Century Gothic"/>
          <w:sz w:val="20"/>
          <w:szCs w:val="20"/>
        </w:rPr>
        <w:footnoteReference w:id="2"/>
      </w:r>
    </w:p>
    <w:p>
      <w:pPr>
        <w:pStyle w:val="Normal"/>
        <w:spacing w:lineRule="auto" w:line="360" w:before="0" w:after="0"/>
        <w:jc w:val="both"/>
        <w:rPr>
          <w:rFonts w:ascii="Century Gothic" w:hAnsi="Century Gothic"/>
          <w:sz w:val="20"/>
          <w:szCs w:val="20"/>
        </w:rPr>
      </w:pPr>
      <w:r>
        <w:rPr>
          <w:rFonts w:ascii="Century Gothic" w:hAnsi="Century Gothic"/>
          <w:sz w:val="20"/>
          <w:szCs w:val="20"/>
        </w:rPr>
        <w:t>3. Επισημαίνεται ότι, για λόγους διαφάνειας και ίσης μεταχείρισης αυτών που συμμετέχουν στον διαγωνισμό, το φυσικό και οικονομικό αντικείμενο της σύμβασης δεν πρέπει να μεταβάλλεται ουσιωδώς κατά τη διάρκεια εκτέλεσής της, κατά τα οριζόμενα στην παρ. 4 του άρθρο 132 του Ν.4412/2016. Δυνατότητα μεταβολής υφίσταται, μόνο υπό τις προϋποθέσεις του άρθρου 132 του Ν.4412/2016.</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4: Προϋπολογισμός της σύμβασης</w:t>
      </w:r>
    </w:p>
    <w:p>
      <w:pPr>
        <w:pStyle w:val="Normal"/>
        <w:spacing w:lineRule="auto" w:line="360" w:before="0" w:after="0"/>
        <w:jc w:val="both"/>
        <w:rPr>
          <w:rFonts w:ascii="Century Gothic" w:hAnsi="Century Gothic"/>
          <w:sz w:val="20"/>
          <w:szCs w:val="20"/>
        </w:rPr>
      </w:pPr>
      <w:r>
        <w:rPr>
          <w:rFonts w:ascii="Century Gothic" w:hAnsi="Century Gothic"/>
          <w:sz w:val="20"/>
          <w:szCs w:val="20"/>
        </w:rPr>
        <w:t>Ο συνολικός προϋπολογισμός της σύμβασης ανέρχεται σε 6.499,99 Ευρώ και αναλύεται σε:</w:t>
      </w:r>
    </w:p>
    <w:p>
      <w:pPr>
        <w:pStyle w:val="Normal"/>
        <w:spacing w:lineRule="auto" w:line="360" w:before="0" w:after="0"/>
        <w:jc w:val="both"/>
        <w:rPr>
          <w:rFonts w:ascii="Century Gothic" w:hAnsi="Century Gothic"/>
          <w:sz w:val="20"/>
          <w:szCs w:val="20"/>
        </w:rPr>
      </w:pPr>
      <w:r>
        <w:rPr>
          <w:rFonts w:ascii="Century Gothic" w:hAnsi="Century Gothic"/>
          <w:sz w:val="20"/>
          <w:szCs w:val="20"/>
        </w:rPr>
        <w:t>Καθαρή αξία: 5.241,93 Ευρώ</w:t>
      </w:r>
    </w:p>
    <w:p>
      <w:pPr>
        <w:pStyle w:val="Normal"/>
        <w:spacing w:lineRule="auto" w:line="360" w:before="0" w:after="0"/>
        <w:jc w:val="both"/>
        <w:rPr>
          <w:rFonts w:ascii="Century Gothic" w:hAnsi="Century Gothic"/>
          <w:sz w:val="20"/>
          <w:szCs w:val="20"/>
        </w:rPr>
      </w:pPr>
      <w:r>
        <w:rPr>
          <w:rFonts w:ascii="Century Gothic" w:hAnsi="Century Gothic"/>
          <w:sz w:val="20"/>
          <w:szCs w:val="20"/>
        </w:rPr>
        <w:t>Φόρος Προστιθέμενης Αξίας 24%: 1.258,06 Ευρώ</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5: Χρηματοδότηση της σύμβασης - Πληρωμή Αναδόχου</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1. Η παρούσα σύμβαση χρηματοδοτείται από ιδίους πόρους και βαρύνει τον κωδικό15/6471.006 του προϋπολογισμού του Δήμου Λεβαδεών </w:t>
      </w:r>
    </w:p>
    <w:p>
      <w:pPr>
        <w:pStyle w:val="Normal"/>
        <w:spacing w:lineRule="auto" w:line="360" w:before="0" w:after="0"/>
        <w:jc w:val="both"/>
        <w:rPr>
          <w:rFonts w:ascii="Century Gothic" w:hAnsi="Century Gothic"/>
          <w:sz w:val="20"/>
          <w:szCs w:val="20"/>
        </w:rPr>
      </w:pPr>
      <w:r>
        <w:rPr>
          <w:rFonts w:ascii="Century Gothic" w:hAnsi="Century Gothic"/>
          <w:sz w:val="20"/>
          <w:szCs w:val="20"/>
        </w:rPr>
        <w:t>2. Υπόκειται στις κρατήσεις που προβλέπονται από τη νομοθεσία, περιλαμβανομένης της κράτησης ύψους 0,06 % υπέρ των λειτουργικών αναγκών της Ενιαίας Ανεξάρτητης Αρχής Δημοσίων Συμβάσεων, σύμφωνα με το άρθρο 4 παρ 3 του Ν 4013/2011.</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3. Ο Φ.Π.Α. βαρύνει το Δήμο. </w:t>
      </w:r>
    </w:p>
    <w:p>
      <w:pPr>
        <w:pStyle w:val="Normal"/>
        <w:spacing w:lineRule="auto" w:line="360" w:before="0" w:after="0"/>
        <w:jc w:val="both"/>
        <w:rPr>
          <w:rFonts w:ascii="Century Gothic" w:hAnsi="Century Gothic"/>
          <w:sz w:val="20"/>
          <w:szCs w:val="20"/>
        </w:rPr>
      </w:pPr>
      <w:r>
        <w:rPr>
          <w:rFonts w:ascii="Century Gothic" w:hAnsi="Century Gothic"/>
          <w:sz w:val="20"/>
          <w:szCs w:val="20"/>
        </w:rPr>
        <w:t>4. Οι πληρωμές θα γίνονουν μετά την παραλαβή της υπηρεσίας</w:t>
      </w:r>
    </w:p>
    <w:p>
      <w:pPr>
        <w:pStyle w:val="Normal"/>
        <w:spacing w:lineRule="auto" w:line="360" w:before="0" w:after="0"/>
        <w:jc w:val="both"/>
        <w:rPr>
          <w:rFonts w:ascii="Century Gothic" w:hAnsi="Century Gothic"/>
          <w:sz w:val="20"/>
          <w:szCs w:val="20"/>
        </w:rPr>
      </w:pPr>
      <w:r>
        <w:rPr>
          <w:rFonts w:ascii="Century Gothic" w:hAnsi="Century Gothic"/>
          <w:sz w:val="20"/>
          <w:szCs w:val="20"/>
        </w:rPr>
        <w:t>Η πληρωμή του εργολαβικού τιμήματος θα γίνεται σε EURO.</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6: Κριτήριο Ανάθεσης – Ανάδειξη Αναδόχου</w:t>
      </w:r>
    </w:p>
    <w:p>
      <w:pPr>
        <w:pStyle w:val="Normal"/>
        <w:spacing w:lineRule="auto" w:line="360" w:before="0" w:after="0"/>
        <w:jc w:val="both"/>
        <w:rPr>
          <w:rFonts w:ascii="Century Gothic" w:hAnsi="Century Gothic"/>
          <w:sz w:val="20"/>
          <w:szCs w:val="20"/>
        </w:rPr>
      </w:pPr>
      <w:r>
        <w:rPr>
          <w:rFonts w:ascii="Century Gothic" w:hAnsi="Century Gothic"/>
          <w:sz w:val="20"/>
          <w:szCs w:val="20"/>
        </w:rPr>
        <w:t>Κριτήριο για την ανάθεση της σύμβασης είναι η πλέον συμφέρουσα από οικονομική άποψη προσφορά αποκλειστικά βάσει τιμής (χαμηλότερη τιμή), όπως ορίζεται στα άρθρα 86 του Ν.4412/2016.</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7: Ημερομηνία λήξης της προθεσμίας παραλαβής των προσφορών –Τόπος διενέργειας του διαγωνισμού</w:t>
      </w:r>
    </w:p>
    <w:p>
      <w:pPr>
        <w:pStyle w:val="Normal"/>
        <w:spacing w:lineRule="auto" w:line="360" w:before="0" w:after="0"/>
        <w:jc w:val="both"/>
        <w:rPr/>
      </w:pPr>
      <w:r>
        <w:rPr>
          <w:rFonts w:ascii="Century Gothic" w:hAnsi="Century Gothic"/>
          <w:sz w:val="20"/>
          <w:szCs w:val="20"/>
        </w:rPr>
        <w:t xml:space="preserve">Ως ημερομηνία λήξης της προθεσμίας παραλαβής των προσφορών στον διαγωνισμό, ορίζεται η </w:t>
      </w:r>
      <w:r>
        <w:rPr>
          <w:rFonts w:ascii="Century Gothic" w:hAnsi="Century Gothic"/>
          <w:b/>
          <w:bCs/>
          <w:color w:val="800000"/>
          <w:sz w:val="20"/>
          <w:szCs w:val="20"/>
        </w:rPr>
        <w:t>0</w:t>
      </w:r>
      <w:r>
        <w:rPr>
          <w:rFonts w:ascii="Century Gothic" w:hAnsi="Century Gothic"/>
          <w:b/>
          <w:bCs/>
          <w:color w:val="800000"/>
          <w:sz w:val="20"/>
          <w:szCs w:val="20"/>
          <w:lang w:val="en-US"/>
        </w:rPr>
        <w:t>8/12/2016</w:t>
      </w:r>
      <w:r>
        <w:rPr>
          <w:rFonts w:ascii="Century Gothic" w:hAnsi="Century Gothic"/>
          <w:b/>
          <w:bCs/>
          <w:color w:val="800000"/>
          <w:sz w:val="20"/>
          <w:szCs w:val="20"/>
        </w:rPr>
        <w:t xml:space="preserve">, ημέρα </w:t>
      </w:r>
      <w:r>
        <w:rPr>
          <w:rFonts w:ascii="Century Gothic" w:hAnsi="Century Gothic"/>
          <w:b/>
          <w:bCs/>
          <w:color w:val="800000"/>
          <w:sz w:val="20"/>
          <w:szCs w:val="20"/>
          <w:lang w:val="el-GR"/>
        </w:rPr>
        <w:t>Πέμπτη</w:t>
      </w:r>
      <w:r>
        <w:rPr>
          <w:rFonts w:ascii="Century Gothic" w:hAnsi="Century Gothic"/>
          <w:sz w:val="20"/>
          <w:szCs w:val="20"/>
        </w:rPr>
        <w:t xml:space="preserve"> .Ώρα λήξης της υποβολής προσφορών ορίζεται η</w:t>
      </w:r>
      <w:r>
        <w:rPr>
          <w:rFonts w:ascii="Century Gothic" w:hAnsi="Century Gothic"/>
          <w:b/>
          <w:bCs/>
          <w:color w:val="800000"/>
          <w:sz w:val="20"/>
          <w:szCs w:val="20"/>
        </w:rPr>
        <w:t xml:space="preserve"> </w:t>
      </w:r>
      <w:r>
        <w:rPr>
          <w:rFonts w:ascii="Century Gothic" w:hAnsi="Century Gothic"/>
          <w:b/>
          <w:bCs/>
          <w:color w:val="800000"/>
          <w:sz w:val="20"/>
          <w:szCs w:val="20"/>
          <w:lang w:val="el-GR"/>
        </w:rPr>
        <w:t>09</w:t>
      </w:r>
      <w:r>
        <w:rPr>
          <w:rFonts w:ascii="Century Gothic" w:hAnsi="Century Gothic"/>
          <w:b/>
          <w:bCs/>
          <w:color w:val="800000"/>
          <w:sz w:val="20"/>
          <w:szCs w:val="20"/>
          <w:lang w:val="en-US"/>
        </w:rPr>
        <w:t>.00</w:t>
      </w:r>
      <w:r>
        <w:rPr>
          <w:rFonts w:ascii="Century Gothic" w:hAnsi="Century Gothic"/>
          <w:b/>
          <w:bCs/>
          <w:color w:val="800000"/>
          <w:sz w:val="20"/>
          <w:szCs w:val="20"/>
        </w:rPr>
        <w:t>. π.μ</w:t>
      </w:r>
      <w:r>
        <w:rPr>
          <w:rFonts w:ascii="Century Gothic" w:hAnsi="Century Gothic"/>
          <w:sz w:val="20"/>
          <w:szCs w:val="20"/>
        </w:rPr>
        <w:t>. Μετά τη λήξη της παραλαβής προσφορών θα ξεκινήσει η διαδικασία αποσφράγισης, ενώπιον της Επιτροπής Διαγωνισμού. Ο διαγωνισμός θα διεξαχθεί στο Δημοτικό Κατάστημα του Δήμου Λεβαδεών</w:t>
      </w:r>
    </w:p>
    <w:p>
      <w:pPr>
        <w:pStyle w:val="Normal"/>
        <w:spacing w:lineRule="auto" w:line="360" w:before="0" w:after="0"/>
        <w:jc w:val="both"/>
        <w:rPr>
          <w:rFonts w:ascii="Century Gothic" w:hAnsi="Century Gothic"/>
          <w:sz w:val="20"/>
          <w:szCs w:val="20"/>
        </w:rPr>
      </w:pPr>
      <w:r>
        <w:rPr>
          <w:rFonts w:ascii="Century Gothic" w:hAnsi="Century Gothic"/>
          <w:sz w:val="20"/>
          <w:szCs w:val="20"/>
        </w:rPr>
        <w:t>Αν, για λόγους ανωτέρας βίας, δεν διενεργηθεί η αποσφράγιση κατά την ορισθείσα ημέρα, η αποσφράγιση και η καταληκτική ημερομηνία αντίστοιχα μετατίθενται σε οποιαδήποτε άλλη ημέρα, με απόφαση της Οικονομικής Επιτροπής. Η απόφαση αυτή κοινοποιείται εγγράφως, 3 τουλάχιστον εργάσιμες ημέρες πριν τη νέα ημερομηνία, σε όσους οικονομικούς φορείς έλαβαν τα έγγραφα της σύμβασης, και αναρτάται στο ΚΗΜΔΗΣ και στην ιστοσελίδα του Δήμου. Αν και στη νέα αυτή ημερομηνία δεν καταστεί δυνατή η αποσφράγιση των προσφορών, μπορεί να ορισθεί και νέα ημερομηνία, εφαρμοζομένων κατά τα λοιπά των διατάξεων των δύο προηγούμενων εδαφίων.</w:t>
      </w:r>
    </w:p>
    <w:p>
      <w:pPr>
        <w:pStyle w:val="Normal"/>
        <w:spacing w:lineRule="auto" w:line="360" w:before="0" w:after="0"/>
        <w:jc w:val="both"/>
        <w:rPr>
          <w:rFonts w:ascii="Century Gothic" w:hAnsi="Century Gothic"/>
          <w:sz w:val="20"/>
          <w:szCs w:val="20"/>
        </w:rPr>
      </w:pPr>
      <w:r>
        <w:rPr>
          <w:rFonts w:ascii="Century Gothic" w:hAnsi="Century Gothic"/>
          <w:b/>
          <w:sz w:val="20"/>
          <w:szCs w:val="20"/>
        </w:rPr>
        <w:t xml:space="preserve">Άρθρο 8: Υποβολή φακέλου προσφοράς </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1. Οι φάκελοι των προσφορών υποβάλλονται μέσα στην προθεσμία του άρθρου 7 είτε (α) με κατάθεσή τους στην Επιτροπή Διαγωνισμού είτε (β) με συστημένη επιστολή προς την αναθέτουσα αρχή είτε (γ) με κατάθεσή τους στο πρωτόκολλο της αναθέτουσας αρχής. Σε περίπτωση ταχυδρομικής αποστολής ή κατάθεσης στο πρωτόκολλο, οι φάκελοι προσφοράς γίνονται δεκτοί εφόσον έχουν πρωτοκολληθεί στο πρωτόκολλο της αναθέτουσας αρχής που διεξάγει τον διαγωνισμό, το αργότερο μέχρι την ημερομηνία και ώρα του διαγωνισμού, όπως ορίζονται στο άρθρο 7 της παρούσας. Η αναθέτουσα αρχή δεν φέρει ευθύνη για τυχόν ελλείψεις του περιεχομένου των προσφορών που αποστέλλονται ταχυδρομικά ούτε για καθυστερήσεις στην άφιξή τους. Δεν θα παραληφθούν φάκελοι ή άλλα έγγραφα από οποιοδήποτε ταχυδρομικό κατάστημα, ακόμα κι αν η αναθέτουσα αρχή ειδοποιηθεί εγκαίρως. </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2. Οι προσφορές είναι έγγραφες και υποβάλλονται μέσα σε σφραγισμένο φάκελο, στον οποίο πρέπει να αναγράφονται ευκρινώς τα ακόλουθα: </w:t>
      </w:r>
    </w:p>
    <w:p>
      <w:pPr>
        <w:pStyle w:val="Normal"/>
        <w:spacing w:lineRule="auto" w:line="360" w:before="0" w:after="0"/>
        <w:jc w:val="both"/>
        <w:rPr>
          <w:rFonts w:ascii="Century Gothic" w:hAnsi="Century Gothic"/>
          <w:sz w:val="20"/>
          <w:szCs w:val="20"/>
        </w:rPr>
      </w:pPr>
      <w:r>
        <w:rPr>
          <w:rFonts w:ascii="Century Gothic" w:hAnsi="Century Gothic"/>
          <w:sz w:val="20"/>
          <w:szCs w:val="20"/>
        </w:rPr>
        <w:t>Προς τον Πρόεδρο της Επιτροπής Διαγωνισμού</w:t>
      </w:r>
    </w:p>
    <w:p>
      <w:pPr>
        <w:pStyle w:val="Normal"/>
        <w:spacing w:lineRule="auto" w:line="360" w:before="0" w:after="0"/>
        <w:jc w:val="both"/>
        <w:rPr>
          <w:rFonts w:ascii="Century Gothic" w:hAnsi="Century Gothic"/>
          <w:sz w:val="20"/>
          <w:szCs w:val="20"/>
        </w:rPr>
      </w:pPr>
      <w:r>
        <w:rPr>
          <w:rFonts w:ascii="Century Gothic" w:hAnsi="Century Gothic"/>
          <w:sz w:val="20"/>
          <w:szCs w:val="20"/>
        </w:rPr>
        <w:t>Προσφορά του …………..</w:t>
      </w:r>
      <w:r>
        <w:rPr>
          <w:rStyle w:val="Style15"/>
          <w:rFonts w:ascii="Century Gothic" w:hAnsi="Century Gothic"/>
          <w:sz w:val="20"/>
          <w:szCs w:val="20"/>
        </w:rPr>
        <w:footnoteReference w:id="3"/>
      </w:r>
      <w:r>
        <w:rPr>
          <w:rFonts w:ascii="Century Gothic" w:hAnsi="Century Gothic"/>
          <w:sz w:val="20"/>
          <w:szCs w:val="20"/>
        </w:rPr>
        <w:t xml:space="preserve"> </w:t>
      </w:r>
    </w:p>
    <w:p>
      <w:pPr>
        <w:pStyle w:val="Normal"/>
        <w:spacing w:lineRule="auto" w:line="360" w:before="0" w:after="0"/>
        <w:jc w:val="both"/>
        <w:rPr/>
      </w:pPr>
      <w:r>
        <w:rPr>
          <w:rFonts w:ascii="Century Gothic" w:hAnsi="Century Gothic"/>
          <w:sz w:val="20"/>
          <w:szCs w:val="20"/>
        </w:rPr>
        <w:t>για την υπηρεσία : «Ηχητική και Φωτιστική Κάλυψη εκδηλώσεων εορτασμού Χριστουγέννων και Πρωτοχρονιάς.»</w:t>
      </w:r>
    </w:p>
    <w:p>
      <w:pPr>
        <w:pStyle w:val="Normal"/>
        <w:spacing w:lineRule="auto" w:line="360" w:before="0" w:after="0"/>
        <w:jc w:val="both"/>
        <w:rPr/>
      </w:pPr>
      <w:r>
        <w:rPr>
          <w:rFonts w:ascii="Century Gothic" w:hAnsi="Century Gothic"/>
          <w:sz w:val="20"/>
          <w:szCs w:val="20"/>
        </w:rPr>
        <w:t>με αναθέτουσα αρχή Δήμος Λεβαδεών.</w:t>
      </w:r>
    </w:p>
    <w:p>
      <w:pPr>
        <w:pStyle w:val="Normal"/>
        <w:spacing w:lineRule="auto" w:line="360" w:before="0" w:after="0"/>
        <w:jc w:val="both"/>
        <w:rPr/>
      </w:pPr>
      <w:r>
        <w:rPr>
          <w:rFonts w:ascii="Century Gothic" w:hAnsi="Century Gothic"/>
          <w:sz w:val="20"/>
          <w:szCs w:val="20"/>
        </w:rPr>
        <w:t>και ημερομηνία λήξης προθεσμίας υποβολής προσφορών8/12/2016</w:t>
      </w:r>
    </w:p>
    <w:p>
      <w:pPr>
        <w:pStyle w:val="Normal"/>
        <w:spacing w:lineRule="auto" w:line="360" w:before="0" w:after="0"/>
        <w:jc w:val="both"/>
        <w:rPr>
          <w:rFonts w:ascii="Century Gothic" w:hAnsi="Century Gothic"/>
          <w:sz w:val="20"/>
          <w:szCs w:val="20"/>
        </w:rPr>
      </w:pPr>
      <w:r>
        <w:rPr>
          <w:rFonts w:ascii="Century Gothic" w:hAnsi="Century Gothic"/>
          <w:sz w:val="20"/>
          <w:szCs w:val="20"/>
        </w:rPr>
        <w:t>3. Με την προσφορά υποβάλλονται τα ακόλουθα:</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α) ξεχωριστός σφραγισμένος φάκελος, με την ένδειξη «Δικαιολογητικά Συμμετοχής» κατά τα οριζόμενα στο άρθρο 9. </w:t>
      </w:r>
    </w:p>
    <w:p>
      <w:pPr>
        <w:pStyle w:val="Normal"/>
        <w:spacing w:lineRule="auto" w:line="360" w:before="0" w:after="0"/>
        <w:jc w:val="both"/>
        <w:rPr>
          <w:rFonts w:ascii="Century Gothic" w:hAnsi="Century Gothic"/>
          <w:sz w:val="20"/>
          <w:szCs w:val="20"/>
        </w:rPr>
      </w:pPr>
      <w:r>
        <w:rPr>
          <w:rFonts w:ascii="Century Gothic" w:hAnsi="Century Gothic"/>
          <w:sz w:val="20"/>
          <w:szCs w:val="20"/>
        </w:rPr>
        <w:t>β) ξεχωριστός σφραγισμένος φάκελος, με την ένδειξη «Τεχνική Προσφορά», ο οποίος περιέχει τα τεχνικά στοιχεία της προσφοράς, κατά τα οριζόμενα στο άρθρο 9. Αν τα τεχνικά στοιχεία της προσφοράς δεν είναι δυνατόν, λόγω μεγάλου όγκου, να τοποθετηθούν στον κυρίως φάκελο, τότε αυτά συσκευάζονται χωριστά και ακολουθούν τον κυρίως φάκελο με τις ίδιες ενδείξεις και</w:t>
      </w:r>
    </w:p>
    <w:p>
      <w:pPr>
        <w:pStyle w:val="Normal"/>
        <w:spacing w:lineRule="auto" w:line="360" w:before="0" w:after="0"/>
        <w:jc w:val="both"/>
        <w:rPr>
          <w:rFonts w:ascii="Century Gothic" w:hAnsi="Century Gothic"/>
          <w:sz w:val="20"/>
          <w:szCs w:val="20"/>
        </w:rPr>
      </w:pPr>
      <w:r>
        <w:rPr>
          <w:rFonts w:ascii="Century Gothic" w:hAnsi="Century Gothic"/>
          <w:sz w:val="20"/>
          <w:szCs w:val="20"/>
        </w:rPr>
        <w:t>γ) ξεχωριστός σφραγισμένος φάκελος, με την ένδειξη «Οικονομική Προσφορά», ο οποίος περιέχει τα οικονομικά στοιχεία της προσφοράς, κατά τα οριζόμενα στο άρθρο 9.</w:t>
      </w:r>
    </w:p>
    <w:p>
      <w:pPr>
        <w:pStyle w:val="Normal"/>
        <w:spacing w:lineRule="auto" w:line="360" w:before="0" w:after="0"/>
        <w:jc w:val="both"/>
        <w:rPr>
          <w:rFonts w:ascii="Century Gothic" w:hAnsi="Century Gothic"/>
          <w:sz w:val="20"/>
          <w:szCs w:val="20"/>
        </w:rPr>
      </w:pPr>
      <w:r>
        <w:rPr>
          <w:rFonts w:ascii="Century Gothic" w:hAnsi="Century Gothic"/>
          <w:sz w:val="20"/>
          <w:szCs w:val="20"/>
        </w:rPr>
        <w:t>Οι τρεις ως άνω ξεχωριστοί σφραγισμένοι φάκελοι φέρουν επίσης τις ενδείξεις του κυρίως φακέλου της παρ. 2.</w:t>
      </w:r>
    </w:p>
    <w:p>
      <w:pPr>
        <w:pStyle w:val="Normal"/>
        <w:spacing w:lineRule="auto" w:line="360" w:before="0" w:after="0"/>
        <w:jc w:val="both"/>
        <w:rPr>
          <w:rFonts w:ascii="Century Gothic" w:hAnsi="Century Gothic"/>
          <w:sz w:val="20"/>
          <w:szCs w:val="20"/>
        </w:rPr>
      </w:pPr>
      <w:r>
        <w:rPr>
          <w:rFonts w:ascii="Century Gothic" w:hAnsi="Century Gothic"/>
          <w:sz w:val="20"/>
          <w:szCs w:val="20"/>
        </w:rPr>
        <w:t>4. Οι προσφορές και τα περιλαμβανόμενα σε αυτές στοιχεία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Συνθήκη της Χάγης της 5.10.1961, που κυρώθηκε με το ν. 1497/1984 (Α` 188).</w:t>
      </w:r>
    </w:p>
    <w:p>
      <w:pPr>
        <w:pStyle w:val="Normal"/>
        <w:spacing w:lineRule="auto" w:line="360" w:before="0" w:after="0"/>
        <w:jc w:val="both"/>
        <w:rPr>
          <w:rFonts w:ascii="Century Gothic" w:hAnsi="Century Gothic"/>
          <w:sz w:val="20"/>
          <w:szCs w:val="20"/>
        </w:rPr>
      </w:pPr>
      <w:r>
        <w:rPr>
          <w:rFonts w:ascii="Century Gothic" w:hAnsi="Century Gothic"/>
          <w:sz w:val="20"/>
          <w:szCs w:val="20"/>
        </w:rPr>
        <w:t>5. Προσφορές που περιέρχονται στην αναθέτουσα αρχή με οποιοδήποτε τρόπο πριν από την ημερομηνία υποβολής του άρθρου 7 της παρούσας, δεν αποσφραγίζονται, αλλά παραδίδονται στην Επιτροπή Διαγωνισμού κατά τα οριζόμενα στο άρθρο 11.</w:t>
      </w:r>
    </w:p>
    <w:p>
      <w:pPr>
        <w:pStyle w:val="Normal"/>
        <w:spacing w:lineRule="auto" w:line="360" w:before="0" w:after="0"/>
        <w:jc w:val="both"/>
        <w:rPr>
          <w:rFonts w:ascii="Century Gothic" w:hAnsi="Century Gothic"/>
          <w:sz w:val="20"/>
          <w:szCs w:val="20"/>
        </w:rPr>
      </w:pPr>
      <w:r>
        <w:rPr>
          <w:rFonts w:ascii="Century Gothic" w:hAnsi="Century Gothic"/>
          <w:sz w:val="20"/>
          <w:szCs w:val="20"/>
        </w:rPr>
        <w:t>6. Για τυχόν προσφορές που υποβάλλονται εκπρόθεσμα, η Επιτροπή Διαγωνισμού σημειώνει στο πρακτικό της την εκπρόθεσμη υποβολή (ακριβή ώρα που περιήλθε η προσφορά στην κατοχή της) και τις απορρίπτει ως μη κανονικές.</w:t>
      </w:r>
    </w:p>
    <w:p>
      <w:pPr>
        <w:pStyle w:val="Normal"/>
        <w:spacing w:lineRule="auto" w:line="360" w:before="0" w:after="0"/>
        <w:jc w:val="both"/>
        <w:rPr>
          <w:rFonts w:ascii="Century Gothic" w:hAnsi="Century Gothic"/>
          <w:sz w:val="20"/>
          <w:szCs w:val="20"/>
        </w:rPr>
      </w:pPr>
      <w:r>
        <w:rPr>
          <w:rFonts w:ascii="Century Gothic" w:hAnsi="Century Gothic"/>
          <w:sz w:val="20"/>
          <w:szCs w:val="20"/>
        </w:rPr>
        <w:t>7. Οι προσφορές υπογράφονται και μονογράφονται ανά φύλλο από τον οικονομικό φορέα ή, σε περίπτωση νομικών προσώπων, από το νόμιμο εκπρόσωπο αυτών.</w:t>
      </w:r>
    </w:p>
    <w:p>
      <w:pPr>
        <w:pStyle w:val="Normal"/>
        <w:spacing w:lineRule="auto" w:line="360" w:before="0" w:after="0"/>
        <w:jc w:val="both"/>
        <w:rPr>
          <w:rFonts w:ascii="Century Gothic" w:hAnsi="Century Gothic"/>
          <w:sz w:val="20"/>
          <w:szCs w:val="20"/>
        </w:rPr>
      </w:pPr>
      <w:r>
        <w:rPr>
          <w:rFonts w:ascii="Century Gothic" w:hAnsi="Century Gothic"/>
          <w:sz w:val="20"/>
          <w:szCs w:val="20"/>
        </w:rPr>
        <w:t>8. Η ένωση οικονομικών φορέων υποβάλλει κοινή προσφορά, η οποία υπογράφεται υποχρεωτικά, 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pPr>
        <w:pStyle w:val="Normal"/>
        <w:spacing w:lineRule="auto" w:line="360" w:before="0" w:after="0"/>
        <w:jc w:val="both"/>
        <w:rPr>
          <w:rFonts w:ascii="Century Gothic" w:hAnsi="Century Gothic"/>
          <w:sz w:val="20"/>
          <w:szCs w:val="20"/>
        </w:rPr>
      </w:pPr>
      <w:r>
        <w:rPr>
          <w:rFonts w:ascii="Century Gothic" w:hAnsi="Century Gothic"/>
          <w:sz w:val="20"/>
          <w:szCs w:val="20"/>
        </w:rPr>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9: Περιεχόμενο φακέλου προσφοράς</w:t>
      </w:r>
    </w:p>
    <w:p>
      <w:pPr>
        <w:pStyle w:val="Normal"/>
        <w:spacing w:lineRule="auto" w:line="360" w:before="0" w:after="0"/>
        <w:jc w:val="both"/>
        <w:rPr>
          <w:rFonts w:ascii="Century Gothic" w:hAnsi="Century Gothic"/>
          <w:sz w:val="20"/>
          <w:szCs w:val="20"/>
        </w:rPr>
      </w:pPr>
      <w:r>
        <w:rPr>
          <w:rFonts w:ascii="Century Gothic" w:hAnsi="Century Gothic"/>
          <w:sz w:val="20"/>
          <w:szCs w:val="20"/>
        </w:rPr>
        <w:t>1. Ο φάκελος προσφοράς (προσφορά) των διαγωνιζομένων περιλαμβάνει, επί ποινή αποκλεισμού, τα ακόλουθα:</w:t>
      </w:r>
    </w:p>
    <w:p>
      <w:pPr>
        <w:pStyle w:val="Normal"/>
        <w:spacing w:lineRule="auto" w:line="360" w:before="0" w:after="0"/>
        <w:jc w:val="both"/>
        <w:rPr>
          <w:rFonts w:ascii="Century Gothic" w:hAnsi="Century Gothic"/>
          <w:sz w:val="20"/>
          <w:szCs w:val="20"/>
        </w:rPr>
      </w:pPr>
      <w:r>
        <w:rPr>
          <w:rFonts w:ascii="Century Gothic" w:hAnsi="Century Gothic"/>
          <w:sz w:val="20"/>
          <w:szCs w:val="20"/>
        </w:rPr>
        <w:t>(α) ξεχωριστό σφραγισμένο φάκελο με την ένδειξη «Δικαιολογητικά Συμμετοχής»</w:t>
      </w:r>
    </w:p>
    <w:p>
      <w:pPr>
        <w:pStyle w:val="Normal"/>
        <w:spacing w:lineRule="auto" w:line="360" w:before="0" w:after="0"/>
        <w:jc w:val="both"/>
        <w:rPr>
          <w:rFonts w:ascii="Century Gothic" w:hAnsi="Century Gothic"/>
          <w:sz w:val="20"/>
          <w:szCs w:val="20"/>
        </w:rPr>
      </w:pPr>
      <w:r>
        <w:rPr>
          <w:rFonts w:ascii="Century Gothic" w:hAnsi="Century Gothic"/>
          <w:sz w:val="20"/>
          <w:szCs w:val="20"/>
        </w:rPr>
        <w:t>(β) ξεχωριστό σφραγισμένο φάκελο με την ένδειξη «Τεχνική Προσφορά»</w:t>
      </w:r>
    </w:p>
    <w:p>
      <w:pPr>
        <w:pStyle w:val="Normal"/>
        <w:spacing w:lineRule="auto" w:line="360" w:before="0" w:after="0"/>
        <w:jc w:val="both"/>
        <w:rPr>
          <w:rFonts w:ascii="Century Gothic" w:hAnsi="Century Gothic"/>
          <w:sz w:val="20"/>
          <w:szCs w:val="20"/>
        </w:rPr>
      </w:pPr>
      <w:r>
        <w:rPr>
          <w:rFonts w:ascii="Century Gothic" w:hAnsi="Century Gothic"/>
          <w:sz w:val="20"/>
          <w:szCs w:val="20"/>
        </w:rPr>
        <w:t>(γ) ξεχωριστό σφραγισμένο φάκελο με την ένδειξη «Οικονομική Προσφορά»</w:t>
      </w:r>
    </w:p>
    <w:p>
      <w:pPr>
        <w:pStyle w:val="Normal"/>
        <w:spacing w:lineRule="auto" w:line="360" w:before="0" w:after="0"/>
        <w:jc w:val="both"/>
        <w:rPr>
          <w:rFonts w:ascii="Century Gothic" w:hAnsi="Century Gothic"/>
          <w:sz w:val="20"/>
          <w:szCs w:val="20"/>
        </w:rPr>
      </w:pPr>
      <w:r>
        <w:rPr>
          <w:rFonts w:ascii="Century Gothic" w:hAnsi="Century Gothic"/>
          <w:sz w:val="20"/>
          <w:szCs w:val="20"/>
        </w:rPr>
        <w:t>σύμφωνα με τα κατωτέρω:</w:t>
      </w:r>
    </w:p>
    <w:p>
      <w:pPr>
        <w:pStyle w:val="Normal"/>
        <w:spacing w:lineRule="auto" w:line="360" w:before="0" w:after="0"/>
        <w:jc w:val="both"/>
        <w:rPr>
          <w:rFonts w:ascii="Century Gothic" w:hAnsi="Century Gothic"/>
          <w:sz w:val="20"/>
          <w:szCs w:val="20"/>
        </w:rPr>
      </w:pPr>
      <w:r>
        <w:rPr>
          <w:rFonts w:ascii="Century Gothic" w:hAnsi="Century Gothic"/>
          <w:sz w:val="20"/>
          <w:szCs w:val="20"/>
        </w:rPr>
        <w:t>2. Ο φάκελος «Δικαιολογητικά Συμμετοχής» πρέπει, επί ποινή αποκλεισμού, να περιέχει τα ακόλουθα:</w:t>
      </w:r>
    </w:p>
    <w:p>
      <w:pPr>
        <w:pStyle w:val="Normal"/>
        <w:spacing w:lineRule="auto" w:line="360" w:before="0" w:after="0"/>
        <w:jc w:val="both"/>
        <w:rPr>
          <w:rFonts w:ascii="Century Gothic" w:hAnsi="Century Gothic"/>
          <w:sz w:val="20"/>
          <w:szCs w:val="20"/>
        </w:rPr>
      </w:pPr>
      <w:r>
        <w:rPr>
          <w:rFonts w:ascii="Century Gothic" w:hAnsi="Century Gothic"/>
          <w:sz w:val="20"/>
          <w:szCs w:val="20"/>
        </w:rPr>
        <w:t>α) Το</w:t>
      </w:r>
      <w:r>
        <w:rPr>
          <w:rFonts w:ascii="Century Gothic" w:hAnsi="Century Gothic"/>
          <w:color w:val="FF0000"/>
          <w:sz w:val="20"/>
          <w:szCs w:val="20"/>
        </w:rPr>
        <w:t xml:space="preserve"> τ</w:t>
      </w:r>
      <w:r>
        <w:rPr>
          <w:rFonts w:ascii="Century Gothic" w:hAnsi="Century Gothic"/>
          <w:color w:val="00000A"/>
          <w:sz w:val="20"/>
          <w:szCs w:val="20"/>
        </w:rPr>
        <w:t>υποποιημένο έντυπο</w:t>
      </w:r>
      <w:r>
        <w:rPr>
          <w:rFonts w:ascii="Century Gothic" w:hAnsi="Century Gothic"/>
          <w:sz w:val="20"/>
          <w:szCs w:val="20"/>
        </w:rPr>
        <w:t xml:space="preserve"> του άρθρου 15 της παρούσας</w:t>
      </w:r>
    </w:p>
    <w:p>
      <w:pPr>
        <w:pStyle w:val="Normal"/>
        <w:spacing w:lineRule="auto" w:line="360" w:before="0" w:after="0"/>
        <w:jc w:val="both"/>
        <w:rPr>
          <w:rFonts w:ascii="Century Gothic" w:hAnsi="Century Gothic"/>
          <w:sz w:val="20"/>
          <w:szCs w:val="20"/>
        </w:rPr>
      </w:pPr>
      <w:r>
        <w:rPr>
          <w:rFonts w:ascii="Century Gothic" w:hAnsi="Century Gothic"/>
          <w:sz w:val="20"/>
          <w:szCs w:val="20"/>
        </w:rPr>
        <w:t>β) τα κατά περίπτωση νομιμοποιητικά έγγραφα σύστασης και νόμιμης εκπροσώπησης του οικονομικού φορέα (όπως καταστατικά, πιστοποιητικά μεταβολών, αντίστοιχα ΦΕΚ, συγκρότηση Δ.Σ. σε σώμα, σε περίπτωση Α.Ε., κλπ., ανάλογα με τη νομική μορφή του διαγωνιζομένου). Από τα ανωτέρω έγγραφα πρέπει να προκύπτουν η νόμιμη σύσταση του νομικού προσώπου,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καθώς και η θητεία του/των ή/και των μελών του διοικητικού οργάνου και</w:t>
      </w:r>
    </w:p>
    <w:p>
      <w:pPr>
        <w:pStyle w:val="Normal"/>
        <w:spacing w:lineRule="auto" w:line="360" w:before="0" w:after="0"/>
        <w:jc w:val="both"/>
        <w:rPr>
          <w:rFonts w:ascii="Century Gothic" w:hAnsi="Century Gothic"/>
          <w:sz w:val="20"/>
          <w:szCs w:val="20"/>
        </w:rPr>
      </w:pPr>
      <w:r>
        <w:rPr>
          <w:rFonts w:ascii="Century Gothic" w:hAnsi="Century Gothic"/>
          <w:sz w:val="20"/>
          <w:szCs w:val="20"/>
        </w:rPr>
        <w:t>γ) παραστατικό εκπροσώπησης, αν οι οικονομικοί φορείς συμμετέχουν με αντιπρόσωπο τους.</w:t>
      </w:r>
    </w:p>
    <w:p>
      <w:pPr>
        <w:pStyle w:val="Normal"/>
        <w:spacing w:lineRule="auto" w:line="360" w:before="0" w:after="0"/>
        <w:jc w:val="both"/>
        <w:rPr>
          <w:rFonts w:ascii="Century Gothic" w:hAnsi="Century Gothic"/>
          <w:sz w:val="20"/>
          <w:szCs w:val="20"/>
        </w:rPr>
      </w:pPr>
      <w:r>
        <w:rPr>
          <w:rFonts w:ascii="Century Gothic" w:hAnsi="Century Gothic"/>
          <w:sz w:val="20"/>
          <w:szCs w:val="20"/>
        </w:rPr>
        <w:t>Οι ενώσεις οικονομικών φορέων που υποβάλλουν κοινή προσφορά, υποβάλλουν τα παραπάνω κατά περίπτωση δικαιολογητικά της υποπεριπτ. (β), για κάθε οικονομικό φορέα που συμμετέχει στην ένωση. Στην υπεύθυνη δήλωση που υποβάλλει η ένωση οικονομικών φορέων προσδιορίζεται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3. Ο φάκελος «Τεχνική Προσφορά» περιέχει τα τεχνικά στοιχεία της προσφοράς, σύμφωνα με όσα προβλέπονται στα έγγραφα της σύμβασης, </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4. Ο φάκελος «Οικονομική Προσφορά» περιέχει τα οικονομικά στοιχεία της προσφοράς, σύμφωνα με όσα προβλέπονται στα έγγραφα της σύμβασης. </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10: Σύστημα υποβολής οικονομικών προσφορών</w:t>
      </w:r>
    </w:p>
    <w:p>
      <w:pPr>
        <w:pStyle w:val="Normal"/>
        <w:spacing w:lineRule="auto" w:line="360" w:before="0" w:after="0"/>
        <w:jc w:val="both"/>
        <w:rPr>
          <w:rFonts w:ascii="Century Gothic" w:hAnsi="Century Gothic"/>
          <w:sz w:val="20"/>
          <w:szCs w:val="20"/>
        </w:rPr>
      </w:pPr>
      <w:r>
        <w:rPr>
          <w:rFonts w:ascii="Century Gothic" w:hAnsi="Century Gothic"/>
          <w:sz w:val="20"/>
          <w:szCs w:val="20"/>
        </w:rPr>
        <w:t>1. Η τιμή του προς παρεχόμενης υπηρεσίας δίνεται ανά μονάδα, όπως καθορίζεται στα έγγραφα της σύμβασης. Στην τιμή περιλαμβάνονται οι υπέρ τρίτων κρατήσεις, ως και κάθε άλλη επιβάρυνση, σύμφωνα με την κείμενη νομοθεσία, μη συμπεριλαμβανομένου Φ.Π.Α., για της παρεχόμενης υπηρεσίας στον τόπο και με τον τρόπο που προβλέπεται στα έγγραφα της σύμβασης.</w:t>
      </w:r>
    </w:p>
    <w:p>
      <w:pPr>
        <w:pStyle w:val="Normal"/>
        <w:spacing w:lineRule="auto" w:line="360" w:before="0" w:after="0"/>
        <w:jc w:val="both"/>
        <w:rPr>
          <w:rFonts w:ascii="Century Gothic" w:hAnsi="Century Gothic"/>
          <w:sz w:val="20"/>
          <w:szCs w:val="20"/>
        </w:rPr>
      </w:pPr>
      <w:r>
        <w:rPr>
          <w:rFonts w:ascii="Century Gothic" w:hAnsi="Century Gothic"/>
          <w:sz w:val="20"/>
          <w:szCs w:val="20"/>
        </w:rPr>
        <w:t>2. Η προσφερόμενη τιμή δίνεται σε ευρώ</w:t>
      </w:r>
    </w:p>
    <w:p>
      <w:pPr>
        <w:pStyle w:val="Normal"/>
        <w:spacing w:lineRule="auto" w:line="360" w:before="0" w:after="0"/>
        <w:jc w:val="both"/>
        <w:rPr>
          <w:rFonts w:ascii="Century Gothic" w:hAnsi="Century Gothic"/>
          <w:sz w:val="20"/>
          <w:szCs w:val="20"/>
        </w:rPr>
      </w:pPr>
      <w:r>
        <w:rPr>
          <w:rFonts w:ascii="Century Gothic" w:hAnsi="Century Gothic"/>
          <w:sz w:val="20"/>
          <w:szCs w:val="20"/>
        </w:rPr>
        <w:t>3. Κάθε διαγωνιζόμενος μπορεί να υποβάλει μόνο μία οικονομική προσφορά.</w:t>
      </w:r>
    </w:p>
    <w:p>
      <w:pPr>
        <w:pStyle w:val="Normal"/>
        <w:spacing w:lineRule="auto" w:line="360" w:before="0" w:after="0"/>
        <w:jc w:val="both"/>
        <w:rPr>
          <w:rFonts w:ascii="Century Gothic" w:hAnsi="Century Gothic"/>
          <w:sz w:val="20"/>
          <w:szCs w:val="20"/>
        </w:rPr>
      </w:pPr>
      <w:r>
        <w:rPr>
          <w:rFonts w:ascii="Century Gothic" w:hAnsi="Century Gothic"/>
          <w:sz w:val="20"/>
          <w:szCs w:val="20"/>
        </w:rPr>
        <w:t>4. Δεν επιτρέπεται η υποβολή εναλλακτικών προσφορών.</w:t>
      </w:r>
    </w:p>
    <w:p>
      <w:pPr>
        <w:pStyle w:val="Normal"/>
        <w:spacing w:lineRule="auto" w:line="360" w:before="0" w:after="0"/>
        <w:jc w:val="both"/>
        <w:rPr>
          <w:rFonts w:ascii="Century Gothic" w:hAnsi="Century Gothic"/>
          <w:sz w:val="20"/>
          <w:szCs w:val="20"/>
        </w:rPr>
      </w:pPr>
      <w:r>
        <w:rPr>
          <w:rFonts w:ascii="Century Gothic" w:hAnsi="Century Gothic"/>
          <w:sz w:val="20"/>
          <w:szCs w:val="20"/>
        </w:rPr>
        <w:t>5. Δεν επιτρέπεται η υποβολή αντιπροσφορών.</w:t>
      </w:r>
    </w:p>
    <w:p>
      <w:pPr>
        <w:pStyle w:val="Normal"/>
        <w:spacing w:lineRule="auto" w:line="360" w:before="0" w:after="0"/>
        <w:jc w:val="both"/>
        <w:rPr>
          <w:rFonts w:ascii="Century Gothic" w:hAnsi="Century Gothic"/>
          <w:sz w:val="20"/>
          <w:szCs w:val="20"/>
        </w:rPr>
      </w:pPr>
      <w:r>
        <w:rPr>
          <w:rFonts w:ascii="Century Gothic" w:hAnsi="Century Gothic"/>
          <w:b/>
          <w:sz w:val="20"/>
          <w:szCs w:val="20"/>
        </w:rPr>
        <w:t xml:space="preserve">Άρθρο 11: Παραλαβή προσφορών – Στάδια αποσφράγισης αξιολόγησης – Κατακύρωση </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1. Παραλαβή και εξέταση των φακέλων προσφοράς </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α)</w:t>
      </w:r>
      <w:r>
        <w:rPr>
          <w:rFonts w:ascii="Century Gothic" w:hAnsi="Century Gothic"/>
          <w:sz w:val="20"/>
          <w:szCs w:val="20"/>
        </w:rPr>
        <w:t xml:space="preserve"> Η έναρξη υποβολής των προσφορών που κατατίθενται κατά την καταληκτική ημερομηνία στην Επιτροπή Διαγωνισμού, σε δημόσια συνεδρίαση, κηρύσσεται από τον Πρόεδρο αυτής, μισή ώρα πριν από την ώρα λήξης της προθεσμίας του άρθρου 7 της παρούσας. Η παραλαβή μπορεί να συνεχισθεί και μετά την ώρα λήξης, αν η υποβολή, που έχει εμπρόθεσμα αρχίσει, συνεχίζεται χωρίς διακοπή λόγω του πλήθους των προσελθόντων ενδιαφερομένων οικονομικών φορέων. Η λήξη της παραλαβής κηρύσσεται επίσης από τον Πρόεδρο της Επιτροπής Διαγωνισμού, με προειδοποίηση ολίγων λεπτών της ώρας και μετά την κήρυξη της λήξης δεν γίνεται δεκτή άλλη προσφορά.</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Ο Πρόεδρος της Επιτροπής Διαγωνισμού επικοινωνεί εν συνεχεία αμέσως με το πρωτόκολλο της αναθέτουσας αρχής για να διαπιστώσει αν έχουν υποβληθεί προσφορές κατά το άρθρο 8 της παρούσας (σημειώνεται ότι τόσο στο πρωτόκολλο όσο και στον φάκελο αναγράφεται η ώρα και ημέρα υποβολής και η σχετική καταχώρηση στο φάκελο μονογράφεται από τον υπεύθυνο υπάλληλο) και σε καταφατική περίπτωση μεταβαίνει μέλος της, κατ’ εντολή του Προέδρου της και παραλαμβάνει τις προσφορές για να τηρηθεί η υπόλοιπη διαδικασία του διαγωνισμού. </w:t>
      </w:r>
      <w:r>
        <w:rPr>
          <w:rFonts w:ascii="Century Gothic" w:hAnsi="Century Gothic"/>
          <w:color w:val="000000"/>
          <w:sz w:val="20"/>
          <w:szCs w:val="20"/>
          <w:shd w:fill="FFFFFF" w:val="clear"/>
        </w:rPr>
        <w:t>Η υποβολή μόνο μίας προσφοράς δεν αποτελεί κώλυμα για τη συνέχιση της διαδικασίας του διαγωνισμού και την ανάθεση της σύμβασης.</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β)</w:t>
      </w:r>
      <w:r>
        <w:rPr>
          <w:rFonts w:ascii="Century Gothic" w:hAnsi="Century Gothic"/>
          <w:sz w:val="20"/>
          <w:szCs w:val="20"/>
        </w:rPr>
        <w:t xml:space="preserve"> Η Επιτροπή Διαγωνισμού προβαίνει στην έναρξη της διαδικασίας αποσφράγισης των προσφορών την ημερομηνία και ώρα που ορίζεται στο άρθρο 7. Η αποσφράγιση διενεργείται δημόσια, παρουσία των προσφερόντων ή των νομίμως εξουσιοδοτημένων εκπροσώπων τους, οι οποίοι λαμβάνουν γνώση των λοιπών συμμετεχόντων στη διαδικασία και των στοιχείων που υπoβλήθηκαν από αυτούς,  σύμφωνα με το άρθρο 21 του Ν.4412/2016.</w:t>
      </w:r>
    </w:p>
    <w:p>
      <w:pPr>
        <w:pStyle w:val="Normal"/>
        <w:spacing w:lineRule="auto" w:line="360" w:before="0" w:after="0"/>
        <w:jc w:val="both"/>
        <w:rPr>
          <w:rFonts w:ascii="Century Gothic" w:hAnsi="Century Gothic"/>
          <w:color w:val="000000"/>
          <w:sz w:val="20"/>
          <w:szCs w:val="20"/>
          <w:shd w:fill="FFFFFF" w:val="clear"/>
        </w:rPr>
      </w:pPr>
      <w:r>
        <w:rPr>
          <w:rFonts w:ascii="Century Gothic" w:hAnsi="Century Gothic"/>
          <w:color w:val="000000"/>
          <w:sz w:val="20"/>
          <w:szCs w:val="20"/>
          <w:shd w:fill="FFFFFF" w:val="clear"/>
        </w:rPr>
      </w:r>
    </w:p>
    <w:p>
      <w:pPr>
        <w:pStyle w:val="Normal"/>
        <w:spacing w:lineRule="auto" w:line="360" w:before="0" w:after="0"/>
        <w:jc w:val="both"/>
        <w:rPr/>
      </w:pPr>
      <w:r>
        <w:rPr>
          <w:rFonts w:ascii="Century Gothic" w:hAnsi="Century Gothic"/>
          <w:color w:val="000000"/>
          <w:sz w:val="20"/>
          <w:szCs w:val="20"/>
          <w:shd w:fill="FFFFFF" w:val="clear"/>
        </w:rPr>
        <w:t xml:space="preserve">2. Στάδια αποσφράγισης και αξιολόγησης προσφορών </w:t>
      </w:r>
    </w:p>
    <w:p>
      <w:pPr>
        <w:pStyle w:val="Normal"/>
        <w:spacing w:lineRule="auto" w:line="360" w:before="0" w:after="0"/>
        <w:jc w:val="both"/>
        <w:rPr>
          <w:rFonts w:ascii="Century Gothic" w:hAnsi="Century Gothic"/>
          <w:sz w:val="20"/>
          <w:szCs w:val="20"/>
        </w:rPr>
      </w:pPr>
      <w:r>
        <w:rPr>
          <w:rFonts w:ascii="Century Gothic" w:hAnsi="Century Gothic"/>
          <w:sz w:val="20"/>
          <w:szCs w:val="20"/>
        </w:rPr>
        <w:t>α) Αποσφραγίζεται ο κυρίως φάκελος προσφοράς, ο φάκελος των δικαιολογητικών συμμετοχής, καθώς και ο φάκελος της τεχνικής προσφοράς, μονογράφονται δε και σφραγίζονται από την Επιτροπή Διαγωνισμού όλα τα δικαιολογητικά που υποβάλλονται κατά το στάδιο αυτό και η τεχνική προσφορά, ανά φύλλο. Η Επιτροπή Διαγωνισμού καταχωρεί όσους υπέβαλαν προσφορές, καθώς και τα υποβληθέντα αυτών δικαιολογητικά και τα αποτελέσματα του ελέγχου αυτών σε πρακτικό, το οποίο υπογράφεται από τα μέλη του οργάνου. Οι φάκελοι των οικονομικών προσφορών δεν αποσφραγίζονται, αλλά μονογράφονται και σφραγίζονται από το παραπάνω όργανο και τοποθετούνται σε ένα νέο φάκελο ο οποίος επίσης σφραγίζεται και υπογράφεται από το ίδιο όργανο και φυλάσσεται, προκειμένου να αποσφραγισθεί σε μεταγενέστερη ημερομηνία και ώρα.</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β) Στη συνέχεια η Επιτροπή Διαγωνισμού προβαίνει στην αξιολόγηση της τεχνικής προσφοράς, σύμφωνα με τους όρους της παρούσας και συντάσσει πρακτικό για την αποδοχή ή την απόρριψη των τεχνικών προσφορών και τους λόγους αποκλεισμού τους. </w:t>
      </w:r>
    </w:p>
    <w:p>
      <w:pPr>
        <w:pStyle w:val="Normal"/>
        <w:spacing w:lineRule="auto" w:line="360" w:before="0" w:after="0"/>
        <w:jc w:val="both"/>
        <w:rPr>
          <w:rFonts w:ascii="Century Gothic" w:hAnsi="Century Gothic"/>
          <w:sz w:val="20"/>
          <w:szCs w:val="20"/>
        </w:rPr>
      </w:pPr>
      <w:r>
        <w:rPr>
          <w:rFonts w:ascii="Century Gothic" w:hAnsi="Century Gothic"/>
          <w:sz w:val="20"/>
          <w:szCs w:val="20"/>
        </w:rPr>
        <w:t>γ) Οι κατά τα ανωτέρω σφραγισμένοι φάκελοι με τα οικονομικά στοιχεία των προσφορών,</w:t>
      </w:r>
      <w:r>
        <w:rPr>
          <w:rFonts w:ascii="Century Gothic" w:hAnsi="Century Gothic"/>
          <w:color w:val="000000"/>
          <w:sz w:val="20"/>
          <w:szCs w:val="20"/>
          <w:shd w:fill="FFFFFF" w:val="clear"/>
        </w:rPr>
        <w:t xml:space="preserve"> μετά την ολοκλήρωση της αξιολόγησης των λοιπών στοιχείων των προσφορών,</w:t>
      </w:r>
      <w:r>
        <w:rPr>
          <w:rFonts w:ascii="Century Gothic" w:hAnsi="Century Gothic"/>
          <w:sz w:val="20"/>
          <w:szCs w:val="20"/>
        </w:rPr>
        <w:t xml:space="preserve"> αποσφραγίζονται κατά την ημερομηνία και ώρα που θα ορισθεί από την Επιτροπή Διαγωνισμού και θα ανακοινωθεί στους συμμετέχοντες και ακολουθεί σχετική ανακοίνωση τιμών, η οποία καταχωρείται σε σχετικό πρακτικό, μαζί με τους λόγους απόρριψης όσων προσφορών κρίνονται απορριπτέες. Για όσες προσφορές δεν κρίθηκαν αποδεκτές κατά τα προηγούμενα ως άνω στάδια α' και β' οι φάκελοι της οικονομικής προσφοράς δεν αποσφραγίζονται, αλλά επιστρέφονται.</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Η κατά τα ανωτέρω αποσφράγιση του φακέλου των δικαιολογητικών συμμετοχής, των τεχνικών προσφορών και των οικονομικών προσφορών μπορούν να γίνουν σε μία δημόσια συνεδρίαση, κατά την κρίση της Επιτροπής Διαγωνισμού. </w:t>
      </w:r>
    </w:p>
    <w:p>
      <w:pPr>
        <w:pStyle w:val="Normal"/>
        <w:spacing w:lineRule="auto" w:line="360" w:before="0" w:after="0"/>
        <w:jc w:val="both"/>
        <w:rPr>
          <w:rFonts w:ascii="Century Gothic" w:hAnsi="Century Gothic"/>
          <w:sz w:val="20"/>
          <w:szCs w:val="20"/>
        </w:rPr>
      </w:pPr>
      <w:r>
        <w:rPr>
          <w:rFonts w:ascii="Century Gothic" w:hAnsi="Century Gothic"/>
          <w:sz w:val="20"/>
          <w:szCs w:val="20"/>
        </w:rPr>
        <w:t>δ) Τα αποτελέσματα των ανωτέρω σταδίων επικυρώνονται με απόφαση της Οικονομικής Επιτροπής του Δήμου, η οποία κοινoποιείται με επιμέλεια αυτής στους προσφέροντες. Κατά της ανωτέρω απόφασης χωρεί ένσταση, σύμφωνα με το άρθρο 127 του Ν.4412/2016.</w:t>
      </w:r>
    </w:p>
    <w:p>
      <w:pPr>
        <w:pStyle w:val="Normal"/>
        <w:spacing w:lineRule="auto" w:line="360" w:before="0" w:after="0"/>
        <w:jc w:val="both"/>
        <w:rPr>
          <w:rFonts w:ascii="Century Gothic" w:hAnsi="Century Gothic"/>
          <w:sz w:val="20"/>
          <w:szCs w:val="20"/>
        </w:rPr>
      </w:pPr>
      <w:r>
        <w:rPr>
          <w:rFonts w:ascii="Century Gothic" w:hAnsi="Century Gothic"/>
          <w:sz w:val="20"/>
          <w:szCs w:val="20"/>
        </w:rPr>
        <w:t>ε) Επισημαίνεται ότι σε περίπτωση που οι προσφορές έχουν την ίδια ακριβώς τιμή (ισότιμες), η αναθέτουσα αρχή επιλέγει τον (προσωρινό) ανάδοχο με κλήρωση μεταξύ των οικονομικών φορέων που υπέβαλαν ισότιμες προσφορές. Η κλήρωση γίνεται ενώπιον της Επιτροπής Διαγωνισμού και παρουσία των οικονομικών φορέων που υπέβαλαν τις ισότιμες προσφορές.</w:t>
      </w:r>
    </w:p>
    <w:p>
      <w:pPr>
        <w:pStyle w:val="Normal"/>
        <w:spacing w:lineRule="auto" w:line="360" w:before="0" w:after="0"/>
        <w:jc w:val="both"/>
        <w:rPr>
          <w:rFonts w:ascii="Century Gothic" w:hAnsi="Century Gothic"/>
          <w:sz w:val="20"/>
          <w:szCs w:val="20"/>
        </w:rPr>
      </w:pPr>
      <w:r>
        <w:rPr>
          <w:rFonts w:ascii="Century Gothic" w:hAnsi="Century Gothic"/>
          <w:sz w:val="20"/>
          <w:szCs w:val="20"/>
        </w:rPr>
      </w:r>
    </w:p>
    <w:p>
      <w:pPr>
        <w:pStyle w:val="Normal"/>
        <w:spacing w:lineRule="auto" w:line="360" w:before="0" w:after="0"/>
        <w:jc w:val="both"/>
        <w:rPr>
          <w:rFonts w:ascii="Century Gothic" w:hAnsi="Century Gothic"/>
          <w:sz w:val="20"/>
          <w:szCs w:val="20"/>
        </w:rPr>
      </w:pPr>
      <w:r>
        <w:rPr>
          <w:rFonts w:ascii="Century Gothic" w:hAnsi="Century Gothic"/>
          <w:sz w:val="20"/>
          <w:szCs w:val="20"/>
        </w:rPr>
        <w:t>3. Πρόσκληση υποβολής δικαιολογητικών - Κατακύρωση – Πρόσκληση για υπογραφή σύμβασης</w:t>
      </w:r>
    </w:p>
    <w:p>
      <w:pPr>
        <w:pStyle w:val="Normal"/>
        <w:spacing w:lineRule="auto" w:line="360" w:before="0" w:after="0"/>
        <w:jc w:val="both"/>
        <w:rPr>
          <w:rFonts w:ascii="Century Gothic" w:hAnsi="Century Gothic"/>
          <w:sz w:val="20"/>
          <w:szCs w:val="20"/>
        </w:rPr>
      </w:pPr>
      <w:r>
        <w:rPr>
          <w:rFonts w:ascii="Century Gothic" w:hAnsi="Century Gothic"/>
          <w:sz w:val="20"/>
          <w:szCs w:val="20"/>
        </w:rPr>
        <w:t>α) Μετά την αξιολόγηση των προσφορών, η αναθέτουσα αρχή ειδοποιεί εγγράφως τον προσφέροντα, στον οποίο πρόκειται να γίνει η κατακύρωση («προσωρινό ανάδοχο»), να υποβάλει εντός προθεσμίας 3 ημερών από την κοινοποίηση της πρόσκλησης, τα δικαιολογητικά, που καθορίζονται στο άρθρο 16 της παρούσας. Τα δικαιολογητικά προσκομίζονται σε σφραγισμένο φάκελο, ο οποίος παραδίδεται στην Επιτροπή Διαγωνισμού.</w:t>
      </w:r>
    </w:p>
    <w:p>
      <w:pPr>
        <w:pStyle w:val="Normal"/>
        <w:spacing w:lineRule="auto" w:line="360" w:before="0" w:after="0"/>
        <w:jc w:val="both"/>
        <w:rPr>
          <w:rFonts w:ascii="Century Gothic" w:hAnsi="Century Gothic"/>
          <w:sz w:val="20"/>
          <w:szCs w:val="20"/>
        </w:rPr>
      </w:pPr>
      <w:r>
        <w:rPr>
          <w:rFonts w:ascii="Century Gothic" w:hAnsi="Century Gothic"/>
          <w:sz w:val="20"/>
          <w:szCs w:val="20"/>
        </w:rPr>
        <w:t>Αν δεν προσκομισθούν τα παραπάνω δικαιολογητικά ή υπάρχουν ελλείψεις σε αυτά που υποβλήθηκαν, παρέχεται προθεσμία στον προσωρινό ανάδοχο να τα προσκομίσει ή να τα συμπληρώσει εντός 3 ημερών από την κοινοποίηση σχετικής έγγραφης ειδοποίησης σε αυτόν.</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i) Αν κατά τον έλεγχο των παραπάνω δικαιολογητικών διαπιστωθεί ότι τα στοιχεία που δηλώθηκαν με </w:t>
      </w:r>
      <w:r>
        <w:rPr>
          <w:rFonts w:ascii="Century Gothic" w:hAnsi="Century Gothic"/>
          <w:color w:val="00000A"/>
          <w:sz w:val="20"/>
          <w:szCs w:val="20"/>
        </w:rPr>
        <w:t xml:space="preserve"> το τυποποιημένο έντυπο υπεύθυνης δήλωσης της Αρχής του άρθρου 79 παρ. 4 ν. 4412/2016 είναι ψευδή </w:t>
      </w:r>
      <w:r>
        <w:rPr>
          <w:rFonts w:ascii="Century Gothic" w:hAnsi="Century Gothic"/>
          <w:sz w:val="20"/>
          <w:szCs w:val="20"/>
        </w:rPr>
        <w:t>ή ανακριβή, ή</w:t>
      </w:r>
    </w:p>
    <w:p>
      <w:pPr>
        <w:pStyle w:val="Normal"/>
        <w:spacing w:lineRule="auto" w:line="360" w:before="0" w:after="0"/>
        <w:jc w:val="both"/>
        <w:rPr>
          <w:rFonts w:ascii="Century Gothic" w:hAnsi="Century Gothic"/>
          <w:sz w:val="20"/>
          <w:szCs w:val="20"/>
        </w:rPr>
      </w:pPr>
      <w:r>
        <w:rPr>
          <w:rFonts w:ascii="Century Gothic" w:hAnsi="Century Gothic"/>
          <w:sz w:val="20"/>
          <w:szCs w:val="20"/>
        </w:rPr>
        <w:t>ii) αν δεν υποβληθούν στο προκαθορισμένο χρονικό διάστημα τα απαιτούμενα πρωτότυπα ή αντίγραφα, των παραπάνω δικαιολογητικών, ή</w:t>
      </w:r>
    </w:p>
    <w:p>
      <w:pPr>
        <w:pStyle w:val="Normal"/>
        <w:spacing w:lineRule="auto" w:line="360" w:before="0" w:after="0"/>
        <w:jc w:val="both"/>
        <w:rPr>
          <w:rFonts w:ascii="Century Gothic" w:hAnsi="Century Gothic"/>
          <w:sz w:val="20"/>
          <w:szCs w:val="20"/>
        </w:rPr>
      </w:pPr>
      <w:r>
        <w:rPr>
          <w:rFonts w:ascii="Century Gothic" w:hAnsi="Century Gothic"/>
          <w:sz w:val="20"/>
          <w:szCs w:val="20"/>
        </w:rPr>
        <w:t>iii) αν από τα δικαιολογητικά που προσκομίσθηκαν νομίμως και εμπροθέσμως, δεν αποδεικνύονται οι όροι και οι προϋποθέσεις συμμετοχής σύμφωνα με τα άρθρα 12, 13 και 14 της παρούσας, ο προσωρινός ανάδοχος κηρύσσεται έκπτωτος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w:t>
      </w:r>
    </w:p>
    <w:p>
      <w:pPr>
        <w:pStyle w:val="Normal"/>
        <w:spacing w:lineRule="auto" w:line="360" w:before="0" w:after="0"/>
        <w:jc w:val="both"/>
        <w:rPr>
          <w:rFonts w:ascii="Century Gothic" w:hAnsi="Century Gothic"/>
          <w:sz w:val="20"/>
          <w:szCs w:val="20"/>
        </w:rPr>
      </w:pPr>
      <w:r>
        <w:rPr>
          <w:rFonts w:ascii="Century Gothic" w:hAnsi="Century Gothic"/>
          <w:sz w:val="20"/>
          <w:szCs w:val="20"/>
        </w:rPr>
        <w:t>Αν κανένας από τους προσφέροντες δεν υπέβαλε αληθή ή ακριβή δήλωση, ή αν κανένας από τους προσφέροντες δεν προσκομίζει ένα ή περισσότερα από τα απαιτούμενα δικαιολογητικά, ή αν κανένας από τους προσφέροντες δεν αποδείξει ότι πληροί τα κριτήρια ποιοτικής επιλογής του άρθρου 14, η διαδικασία ανάθεσης ματαιώνεται.</w:t>
      </w:r>
    </w:p>
    <w:p>
      <w:pPr>
        <w:pStyle w:val="Normal"/>
        <w:spacing w:lineRule="auto" w:line="360" w:before="0" w:after="0"/>
        <w:jc w:val="both"/>
        <w:rPr>
          <w:rFonts w:ascii="Century Gothic" w:hAnsi="Century Gothic"/>
          <w:sz w:val="20"/>
          <w:szCs w:val="20"/>
        </w:rPr>
      </w:pPr>
      <w:r>
        <w:rPr>
          <w:rFonts w:ascii="Century Gothic" w:hAnsi="Century Gothic"/>
          <w:sz w:val="20"/>
          <w:szCs w:val="20"/>
        </w:rPr>
        <w:t>Η διαδικασία ελέγχου των παραπάνω δικαιολογητικών ολοκληρώνεται με τη σύνταξη πρακτικού από την Επιτροπή Διαγωνισμού και τη διαβίβαση του φακέλου στην Οικονομική Επιτροπή για τη λήψη απόφασης, είτε για την κατακύρωση της σύμβασης, είτε για την κήρυξη του προσωρινού αναδόχου ως εκπτώτου είτε για τη ματαίωση της διαδικασίας.</w:t>
      </w:r>
    </w:p>
    <w:p>
      <w:pPr>
        <w:pStyle w:val="Normal"/>
        <w:spacing w:lineRule="auto" w:line="360" w:before="0" w:after="0"/>
        <w:jc w:val="both"/>
        <w:rPr>
          <w:rFonts w:ascii="Century Gothic" w:hAnsi="Century Gothic"/>
          <w:sz w:val="20"/>
          <w:szCs w:val="20"/>
        </w:rPr>
      </w:pPr>
      <w:r>
        <w:rPr>
          <w:rFonts w:ascii="Century Gothic" w:hAnsi="Century Gothic"/>
          <w:sz w:val="20"/>
          <w:szCs w:val="20"/>
        </w:rPr>
        <w:t>β) Η Οικονομική Επιτροπή είτε κατακυρώνει, είτε ματαιώνει τη σύμβαση, σύμφωνα με τις διατάξεις των άρθρων 105 και 106 του Ν. 4412/2016.</w:t>
      </w:r>
    </w:p>
    <w:p>
      <w:pPr>
        <w:pStyle w:val="Normal"/>
        <w:spacing w:lineRule="auto" w:line="360" w:before="0" w:after="0"/>
        <w:jc w:val="both"/>
        <w:rPr>
          <w:rFonts w:ascii="Century Gothic" w:hAnsi="Century Gothic"/>
          <w:sz w:val="20"/>
          <w:szCs w:val="20"/>
        </w:rPr>
      </w:pPr>
      <w:r>
        <w:rPr>
          <w:rFonts w:ascii="Century Gothic" w:hAnsi="Century Gothic"/>
          <w:sz w:val="20"/>
          <w:szCs w:val="20"/>
        </w:rPr>
        <w:t>Η αναθέτουσα αρχή κοινοποιεί την απόφαση κατακύρωσης, μαζί με αντίγραφο όλων των πρακτικών της διαδικασίας ελέγχου και αξιολόγησης των προσφορών, σε κάθε προσφέροντα εκτός από τον προσωρινό ανάδοχο με κάθε πρόσφορο τρόπο, όπως με τηλεομοιοτυπία, ηλεκτρονικό ταχυδρομείο, επί αποδείξει. Όσοι υπέβαλαν παραδεκτές προσφορές λαμβάνουν γνώση των δικαιολογητικών του προσωρινού αναδόχου.</w:t>
      </w:r>
    </w:p>
    <w:p>
      <w:pPr>
        <w:pStyle w:val="Normal"/>
        <w:spacing w:lineRule="auto" w:line="360" w:before="0" w:after="0"/>
        <w:jc w:val="both"/>
        <w:rPr>
          <w:rFonts w:ascii="Century Gothic" w:hAnsi="Century Gothic"/>
          <w:sz w:val="20"/>
          <w:szCs w:val="20"/>
        </w:rPr>
      </w:pPr>
      <w:r>
        <w:rPr>
          <w:rFonts w:ascii="Century Gothic" w:hAnsi="Century Gothic"/>
          <w:sz w:val="20"/>
          <w:szCs w:val="20"/>
        </w:rPr>
        <w:t>γ) Μετά την άπρακτη πάροδο των προθεσμιών άσκησης των προβλεπόμενων από τις κείμενες διατάξεις βοηθημάτων και μέσων στο στάδιο της προδικαστικής και δικαστικής πρoστασίας και από τις αποφάσεις αναστολών επί αυτών, ο προσωρινός ανάδοχος υποβάλει επικαιροποιημένα τα δικαιολογητικά του άρθρου 16 της παρούσας μετά από σχετική πρόσκληση της αναθέτουσας αρχής. Τα στοιχεία ελέγχονται από την Επιτροπή Διαγωνισμού και, εφόσον διαπιστωθεί ότι δεν έχουν εκλείψει οι προϋποθέσεις συμμετοχής των άρθρων 12, 13 και τα κριτήρια ποιοτικής επιλογής του άρθρου 14, κοινοποιείται η απόφαση κατακύρωσης στον προσωρινό ανάδοχο και καλείται να προσέλθει σε ορισμένο τόπο και χρόνο για την υπογραφή του συμφωνητικού, εντός 3 ημερών από την κοινοποίηση σχετικής έγγραφης ειδικής πρόσκλησης, προσκομίζοντας, και την απαιτούμενη εγγυητική επιστολή καλής εκτέλεσης.</w:t>
      </w:r>
    </w:p>
    <w:p>
      <w:pPr>
        <w:pStyle w:val="Normal"/>
        <w:spacing w:lineRule="auto" w:line="360" w:before="0" w:after="0"/>
        <w:jc w:val="both"/>
        <w:rPr>
          <w:rFonts w:ascii="Century Gothic" w:hAnsi="Century Gothic"/>
          <w:sz w:val="20"/>
          <w:szCs w:val="20"/>
        </w:rPr>
      </w:pPr>
      <w:r>
        <w:rPr>
          <w:rFonts w:ascii="Century Gothic" w:hAnsi="Century Gothic"/>
          <w:color w:val="000000"/>
          <w:sz w:val="20"/>
          <w:szCs w:val="20"/>
          <w:shd w:fill="FFFFFF" w:val="clear"/>
        </w:rPr>
        <w:t>δ) Η υπογραφή του συμφωνητικού έχει αποδεικτικό χαρακτήρα. Εάν ο ανάδοχος δεν προσέλθει να υπογράψει το συμφωνητικό, μέσα στην προθεσμία που ορίζεται στην ειδική πρόκληση, κηρύσσεται έκπτωτος και η κατακύρωση γίνεται στον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w:t>
      </w:r>
    </w:p>
    <w:p>
      <w:pPr>
        <w:pStyle w:val="Normal"/>
        <w:spacing w:lineRule="auto" w:line="360" w:before="0" w:after="0"/>
        <w:jc w:val="both"/>
        <w:rPr>
          <w:rFonts w:ascii="Century Gothic" w:hAnsi="Century Gothic"/>
          <w:color w:val="000000"/>
          <w:sz w:val="20"/>
          <w:szCs w:val="20"/>
          <w:shd w:fill="FFFFFF" w:val="clear"/>
        </w:rPr>
      </w:pPr>
      <w:r>
        <w:rPr>
          <w:rFonts w:ascii="Century Gothic" w:hAnsi="Century Gothic"/>
          <w:color w:val="000000"/>
          <w:sz w:val="20"/>
          <w:szCs w:val="20"/>
          <w:shd w:fill="FFFFFF" w:val="clear"/>
        </w:rPr>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12: Δικαιούμενοι συμμετοχής στον διαγωνισμό</w:t>
      </w:r>
    </w:p>
    <w:p>
      <w:pPr>
        <w:pStyle w:val="Normal"/>
        <w:spacing w:lineRule="auto" w:line="360" w:before="0" w:after="0"/>
        <w:jc w:val="both"/>
        <w:rPr/>
      </w:pPr>
      <w:r>
        <w:rPr>
          <w:rFonts w:ascii="Century Gothic" w:hAnsi="Century Gothic"/>
          <w:sz w:val="20"/>
          <w:szCs w:val="20"/>
        </w:rPr>
        <w:t>1. Δικαίωμα συμμετοχής έχουν φυσικά ή νομικά πρόσωπα, ή ενώσεις αυτών</w:t>
      </w:r>
      <w:r>
        <w:rPr>
          <w:rFonts w:ascii="Century Gothic" w:hAnsi="Century Gothic"/>
          <w:b/>
          <w:bCs/>
          <w:color w:val="800000"/>
          <w:sz w:val="20"/>
          <w:szCs w:val="20"/>
        </w:rPr>
        <w:t xml:space="preserve"> </w:t>
      </w:r>
      <w:r>
        <w:rPr>
          <w:rFonts w:ascii="Century Gothic" w:hAnsi="Century Gothic"/>
          <w:b w:val="false"/>
          <w:bCs w:val="false"/>
          <w:color w:val="00000A"/>
          <w:sz w:val="20"/>
          <w:szCs w:val="20"/>
        </w:rPr>
        <w:t>που δραστηριοποιούνται</w:t>
      </w:r>
      <w:r>
        <w:rPr>
          <w:rFonts w:ascii="Century Gothic" w:hAnsi="Century Gothic"/>
          <w:sz w:val="20"/>
          <w:szCs w:val="20"/>
        </w:rPr>
        <w:t xml:space="preserve"> </w:t>
      </w:r>
      <w:r>
        <w:rPr>
          <w:rFonts w:cs="Arial" w:ascii="Arial" w:hAnsi="Arial"/>
          <w:color w:val="000000"/>
          <w:sz w:val="22"/>
          <w:szCs w:val="22"/>
        </w:rPr>
        <w:t>στην εν λόγω υπηρεσία</w:t>
      </w:r>
      <w:r>
        <w:rPr>
          <w:rFonts w:ascii="Century Gothic" w:hAnsi="Century Gothic"/>
          <w:sz w:val="20"/>
          <w:szCs w:val="20"/>
        </w:rPr>
        <w:t xml:space="preserve"> και που είναι εγκατεστημένα σε:</w:t>
      </w:r>
    </w:p>
    <w:p>
      <w:pPr>
        <w:pStyle w:val="Normal"/>
        <w:spacing w:lineRule="auto" w:line="360" w:before="0" w:after="0"/>
        <w:jc w:val="both"/>
        <w:rPr>
          <w:rFonts w:ascii="Century Gothic" w:hAnsi="Century Gothic"/>
          <w:sz w:val="20"/>
          <w:szCs w:val="20"/>
        </w:rPr>
      </w:pPr>
      <w:r>
        <w:rPr>
          <w:rFonts w:ascii="Century Gothic" w:hAnsi="Century Gothic"/>
          <w:sz w:val="20"/>
          <w:szCs w:val="20"/>
        </w:rPr>
        <w:t>α) σε κράτος-μέλος της Ένωσης,</w:t>
      </w:r>
    </w:p>
    <w:p>
      <w:pPr>
        <w:pStyle w:val="Normal"/>
        <w:spacing w:lineRule="auto" w:line="360" w:before="0" w:after="0"/>
        <w:jc w:val="both"/>
        <w:rPr>
          <w:rFonts w:ascii="Century Gothic" w:hAnsi="Century Gothic"/>
          <w:sz w:val="20"/>
          <w:szCs w:val="20"/>
        </w:rPr>
      </w:pPr>
      <w:r>
        <w:rPr>
          <w:rFonts w:ascii="Century Gothic" w:hAnsi="Century Gothic"/>
          <w:sz w:val="20"/>
          <w:szCs w:val="20"/>
        </w:rPr>
        <w:t>β) σε κράτος-μέλος του Ευρωπαϊκού Οικονομικού Χώρου (Ε.Ο.Χ.),</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γ) σε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I της ως άνω Συμφωνίας, καθώς και </w:t>
      </w:r>
    </w:p>
    <w:p>
      <w:pPr>
        <w:pStyle w:val="Normal"/>
        <w:spacing w:lineRule="auto" w:line="360" w:before="0" w:after="0"/>
        <w:jc w:val="both"/>
        <w:rPr>
          <w:rFonts w:ascii="Century Gothic" w:hAnsi="Century Gothic"/>
          <w:sz w:val="20"/>
          <w:szCs w:val="20"/>
        </w:rPr>
      </w:pPr>
      <w:r>
        <w:rPr>
          <w:rFonts w:ascii="Century Gothic" w:hAnsi="Century Gothic"/>
          <w:sz w:val="20"/>
          <w:szCs w:val="20"/>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pPr>
        <w:pStyle w:val="Normal"/>
        <w:spacing w:lineRule="auto" w:line="360" w:before="0" w:after="0"/>
        <w:jc w:val="both"/>
        <w:rPr>
          <w:rFonts w:ascii="Century Gothic" w:hAnsi="Century Gothic"/>
          <w:sz w:val="20"/>
          <w:szCs w:val="20"/>
        </w:rPr>
      </w:pPr>
      <w:r>
        <w:rPr>
          <w:rFonts w:ascii="Century Gothic" w:hAnsi="Century Gothic"/>
          <w:sz w:val="20"/>
          <w:szCs w:val="20"/>
        </w:rPr>
        <w:t>2. Οι ενώσεις οικονομικών φορέων συμμετέχουν υπό τους όρους των παρ. 2, 3 και 4 του άρθρου 19 του Ν. 4412/2016.</w:t>
      </w:r>
    </w:p>
    <w:p>
      <w:pPr>
        <w:pStyle w:val="Normal"/>
        <w:spacing w:lineRule="auto" w:line="360" w:before="0" w:after="0"/>
        <w:jc w:val="both"/>
        <w:rPr>
          <w:rFonts w:ascii="Century Gothic" w:hAnsi="Century Gothic"/>
          <w:sz w:val="20"/>
          <w:szCs w:val="20"/>
        </w:rPr>
      </w:pPr>
      <w:r>
        <w:rPr>
          <w:rFonts w:ascii="Century Gothic" w:hAnsi="Century Gothic"/>
          <w:sz w:val="20"/>
          <w:szCs w:val="20"/>
        </w:rPr>
        <w:t>Δεν απαιτείται από τις εν λόγω ενώσεις να περιβληθούν συγκεκριμένη νομική μορφή για την υποβολή προσφοράς. Σε περίπτωση που η ένωση αναδειχθεί ανάδοχος η νομική της μορφή πρέπει να είναι τέτοια που να εξασφαλίζεται η ύπαρξη ενός και μοναδικού φορολογικού μητρώου για την ένωση (πχ κοινοπραξία).</w:t>
      </w:r>
    </w:p>
    <w:p>
      <w:pPr>
        <w:pStyle w:val="Normal"/>
        <w:spacing w:lineRule="auto" w:line="360" w:before="0" w:after="0"/>
        <w:jc w:val="both"/>
        <w:rPr>
          <w:rFonts w:ascii="Century Gothic" w:hAnsi="Century Gothic"/>
          <w:sz w:val="20"/>
          <w:szCs w:val="20"/>
        </w:rPr>
      </w:pPr>
      <w:r>
        <w:rPr>
          <w:rFonts w:ascii="Century Gothic" w:hAnsi="Century Gothic"/>
          <w:sz w:val="20"/>
          <w:szCs w:val="20"/>
        </w:rPr>
        <w:t>3. Οικονομικός φορέας συμμετέχει είτε μεμονωμένα είτε ως μέλος ένωσης.</w:t>
      </w:r>
    </w:p>
    <w:p>
      <w:pPr>
        <w:pStyle w:val="Normal"/>
        <w:spacing w:lineRule="auto" w:line="360" w:before="0" w:after="0"/>
        <w:jc w:val="both"/>
        <w:rPr>
          <w:rFonts w:ascii="Century Gothic" w:hAnsi="Century Gothic"/>
          <w:sz w:val="20"/>
          <w:szCs w:val="20"/>
        </w:rPr>
      </w:pPr>
      <w:r>
        <w:rPr>
          <w:rFonts w:ascii="Century Gothic" w:hAnsi="Century Gothic"/>
          <w:sz w:val="20"/>
          <w:szCs w:val="20"/>
        </w:rPr>
      </w:r>
    </w:p>
    <w:p>
      <w:pPr>
        <w:pStyle w:val="Normal"/>
        <w:spacing w:lineRule="auto" w:line="360" w:before="0" w:after="0"/>
        <w:jc w:val="both"/>
        <w:rPr/>
      </w:pPr>
      <w:r>
        <w:rPr>
          <w:rFonts w:ascii="Century Gothic" w:hAnsi="Century Gothic"/>
          <w:b/>
          <w:sz w:val="20"/>
          <w:szCs w:val="20"/>
        </w:rPr>
        <w:t>Άρθρο 13: Λόγοι αποκλεισμού</w:t>
      </w:r>
      <w:r>
        <w:rPr>
          <w:rStyle w:val="Footnotereference"/>
          <w:rFonts w:ascii="Century Gothic" w:hAnsi="Century Gothic"/>
          <w:sz w:val="20"/>
          <w:szCs w:val="20"/>
        </w:rPr>
        <w:t xml:space="preserve"> </w:t>
      </w:r>
      <w:r>
        <w:rPr>
          <w:rFonts w:ascii="Century Gothic" w:hAnsi="Century Gothic"/>
          <w:sz w:val="20"/>
          <w:szCs w:val="20"/>
        </w:rPr>
        <w:t xml:space="preserve"> </w:t>
      </w:r>
    </w:p>
    <w:p>
      <w:pPr>
        <w:pStyle w:val="Normal"/>
        <w:spacing w:lineRule="auto" w:line="360" w:before="0" w:after="0"/>
        <w:jc w:val="both"/>
        <w:rPr>
          <w:rFonts w:ascii="Century Gothic" w:hAnsi="Century Gothic"/>
          <w:sz w:val="20"/>
          <w:szCs w:val="20"/>
        </w:rPr>
      </w:pPr>
      <w:r>
        <w:rPr>
          <w:rFonts w:ascii="Century Gothic" w:hAnsi="Century Gothic"/>
          <w:sz w:val="20"/>
          <w:szCs w:val="20"/>
        </w:rPr>
        <w:t>Κάθε προσφέρων  αποκλείεται από τη συμμετοχή σε διαδικασία σύναψης σύμβασης, εφόσον συντρέχει στο πρόσωπό του (αν πρόκειται για μεμονωμένο φυσικό ή νομικό πρόσωπο) ή σε ένα από τα μέλη του (αν πρόκειται περί ένωσης οικονομικών φορέων ) ένας από τους λόγους των παρακάτω περιπτώσεων:</w:t>
      </w:r>
    </w:p>
    <w:p>
      <w:pPr>
        <w:pStyle w:val="Normal"/>
        <w:spacing w:lineRule="auto" w:line="360" w:before="0" w:after="0"/>
        <w:jc w:val="both"/>
        <w:rPr>
          <w:rFonts w:ascii="Century Gothic" w:hAnsi="Century Gothic"/>
          <w:sz w:val="20"/>
          <w:szCs w:val="20"/>
        </w:rPr>
      </w:pPr>
      <w:r>
        <w:rPr>
          <w:rFonts w:ascii="Century Gothic" w:hAnsi="Century Gothic"/>
          <w:sz w:val="20"/>
          <w:szCs w:val="20"/>
        </w:rPr>
        <w:t>1. Όταν υπάρχει εις βάρος του τελεσίδικη καταδικαστική απόφαση για έναν από τους ακόλουθους λόγους:</w:t>
      </w:r>
    </w:p>
    <w:p>
      <w:pPr>
        <w:pStyle w:val="Normal"/>
        <w:spacing w:lineRule="auto" w:line="360" w:before="0" w:after="0"/>
        <w:jc w:val="both"/>
        <w:rPr>
          <w:rFonts w:ascii="Century Gothic" w:hAnsi="Century Gothic"/>
          <w:sz w:val="20"/>
          <w:szCs w:val="20"/>
        </w:rPr>
      </w:pPr>
      <w:r>
        <w:rPr>
          <w:rFonts w:ascii="Century Gothic" w:hAnsi="Century Gothic"/>
          <w:sz w:val="20"/>
          <w:szCs w:val="20"/>
        </w:rPr>
        <w:t>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εγκλήματος(ΕΕ L 300 της 11.11.2008 σ.42),</w:t>
      </w:r>
    </w:p>
    <w:p>
      <w:pPr>
        <w:pStyle w:val="Normal"/>
        <w:spacing w:lineRule="auto" w:line="360" w:before="0" w:after="0"/>
        <w:jc w:val="both"/>
        <w:rPr>
          <w:rFonts w:ascii="Century Gothic" w:hAnsi="Century Gothic"/>
          <w:sz w:val="20"/>
          <w:szCs w:val="20"/>
        </w:rPr>
      </w:pPr>
      <w:r>
        <w:rPr>
          <w:rFonts w:ascii="Century Gothic" w:hAnsi="Century Gothic"/>
          <w:sz w:val="20"/>
          <w:szCs w:val="20"/>
        </w:rPr>
        <w:t>β)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στην κείμενη νομοθεσία ή στο εθνικό δίκαιο του οικονομικού φορέα,</w:t>
      </w:r>
    </w:p>
    <w:p>
      <w:pPr>
        <w:pStyle w:val="Normal"/>
        <w:spacing w:lineRule="auto" w:line="360" w:before="0" w:after="0"/>
        <w:jc w:val="both"/>
        <w:rPr>
          <w:rFonts w:ascii="Century Gothic" w:hAnsi="Century Gothic"/>
          <w:sz w:val="20"/>
          <w:szCs w:val="20"/>
        </w:rPr>
      </w:pPr>
      <w:r>
        <w:rPr>
          <w:rFonts w:ascii="Century Gothic" w:hAnsi="Century Gothic"/>
          <w:sz w:val="20"/>
          <w:szCs w:val="20"/>
        </w:rPr>
        <w:t>γ) απάτη, κατά την έννοια του άρθρου 1 της σύμβασης σχετικά με την προστασία των οικονομικών συμφερόντων των Ευρωπαϊκών Κοινοτήτων (ΕΕ C 316 της 27.11.1995, σ. 48), η οποία κυρώθηκε με το ν. 2803/2000 (Α΄ 48),</w:t>
      </w:r>
    </w:p>
    <w:p>
      <w:pPr>
        <w:pStyle w:val="Normal"/>
        <w:spacing w:lineRule="auto" w:line="360" w:before="0" w:after="0"/>
        <w:jc w:val="both"/>
        <w:rPr>
          <w:rFonts w:ascii="Century Gothic" w:hAnsi="Century Gothic"/>
          <w:sz w:val="20"/>
          <w:szCs w:val="20"/>
        </w:rPr>
      </w:pPr>
      <w:r>
        <w:rPr>
          <w:rFonts w:ascii="Century Gothic" w:hAnsi="Century Gothic"/>
          <w:sz w:val="20"/>
          <w:szCs w:val="20"/>
        </w:rPr>
        <w:t>δ) τρομοκρατικά εγκλήματα ή εγκλήματα συνδεόμενα με τρομοκρατικές δραστηριότητες, όπως ορίζονται, αντιστοίχως, στα άρθρα 1 και 3 της απόφασης-πλαίσιο 2002/475/ΔΕΥ του Συμβουλίου της 13ης Ιουνίου 2002, για την καταπολέμηση της τρομοκρατίας (ΕΕ L 164 της 22.6.2002, σ. 3) ή ηθική αυτουργία ή συνέργεια ή απόπειρα διάπραξης εγκλήματος, όπως ορίζονται στο άρθρο 4 αυτής,</w:t>
      </w:r>
    </w:p>
    <w:p>
      <w:pPr>
        <w:pStyle w:val="Normal"/>
        <w:spacing w:lineRule="auto" w:line="360" w:before="0" w:after="0"/>
        <w:jc w:val="both"/>
        <w:rPr>
          <w:rFonts w:ascii="Century Gothic" w:hAnsi="Century Gothic"/>
          <w:sz w:val="20"/>
          <w:szCs w:val="20"/>
        </w:rPr>
      </w:pPr>
      <w:r>
        <w:rPr>
          <w:rFonts w:ascii="Century Gothic" w:hAnsi="Century Gothic"/>
          <w:sz w:val="20"/>
          <w:szCs w:val="20"/>
        </w:rPr>
        <w:t>ε) νομιμοποίηση εσόδων από παράνομες δραστηριότητες ή χρηματοδότηση της τρομοκρατίας, όπως αυτές ορίζονται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L 309 της 25.11.2005, σ. 15), η οποία ενσωματώθηκε στην εθνική νομοθεσία με το ν. 3691/2008 (Α΄ 166),</w:t>
      </w:r>
    </w:p>
    <w:p>
      <w:pPr>
        <w:pStyle w:val="Normal"/>
        <w:spacing w:lineRule="auto" w:line="360" w:before="0" w:after="0"/>
        <w:jc w:val="both"/>
        <w:rPr>
          <w:rFonts w:ascii="Century Gothic" w:hAnsi="Century Gothic"/>
          <w:sz w:val="20"/>
          <w:szCs w:val="20"/>
        </w:rPr>
      </w:pPr>
      <w:r>
        <w:rPr>
          <w:rFonts w:ascii="Century Gothic" w:hAnsi="Century Gothic"/>
          <w:sz w:val="20"/>
          <w:szCs w:val="20"/>
        </w:rPr>
        <w:t>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(Α΄ 215 ).</w:t>
      </w:r>
    </w:p>
    <w:p>
      <w:pPr>
        <w:pStyle w:val="Normal"/>
        <w:spacing w:lineRule="auto" w:line="360" w:before="0" w:after="0"/>
        <w:jc w:val="both"/>
        <w:rPr>
          <w:rFonts w:ascii="Century Gothic" w:hAnsi="Century Gothic"/>
          <w:sz w:val="20"/>
          <w:szCs w:val="20"/>
        </w:rPr>
      </w:pPr>
      <w:r>
        <w:rPr>
          <w:rFonts w:ascii="Century Gothic" w:hAnsi="Century Gothic"/>
          <w:sz w:val="20"/>
          <w:szCs w:val="20"/>
        </w:rPr>
        <w:t>Ο οικονομικός φορέας αποκλείεται επίσης όταν το πρόσωπο εις βάρος του οποίου εκδόθηκε τελεσίδικη καταδικαστική απόφαση είναι μέλος του διοικητικού, διευθυντικού ή εποπτικού οργάνου του εν λόγω οικονομικού φορέα ή έχει εξουσία εκπροσώπησης, λήψης αποφάσεων ή ελέγχου σε αυτό.</w:t>
      </w:r>
    </w:p>
    <w:p>
      <w:pPr>
        <w:pStyle w:val="Normal"/>
        <w:spacing w:lineRule="auto" w:line="360" w:before="0" w:after="0"/>
        <w:jc w:val="both"/>
        <w:rPr>
          <w:rFonts w:ascii="Century Gothic" w:hAnsi="Century Gothic"/>
          <w:sz w:val="20"/>
          <w:szCs w:val="20"/>
        </w:rPr>
      </w:pPr>
      <w:r>
        <w:rPr>
          <w:rFonts w:ascii="Century Gothic" w:hAnsi="Century Gothic"/>
          <w:sz w:val="20"/>
          <w:szCs w:val="20"/>
        </w:rPr>
        <w:t>Η υποχρέωση του προηγούμενου εδαφίου αφορά ιδίως:</w:t>
      </w:r>
    </w:p>
    <w:p>
      <w:pPr>
        <w:pStyle w:val="Normal"/>
        <w:spacing w:lineRule="auto" w:line="360" w:before="0" w:after="0"/>
        <w:jc w:val="both"/>
        <w:rPr>
          <w:rFonts w:ascii="Century Gothic" w:hAnsi="Century Gothic"/>
          <w:sz w:val="20"/>
          <w:szCs w:val="20"/>
        </w:rPr>
      </w:pPr>
      <w:r>
        <w:rPr>
          <w:rFonts w:ascii="Century Gothic" w:hAnsi="Century Gothic"/>
          <w:sz w:val="20"/>
          <w:szCs w:val="20"/>
        </w:rPr>
        <w:t>αα) στις περιπτώσεις εταιρειών περιορισμένης ευθύνης (Ε.Π.Ε.) και προσωπικών εταιρειών (Ο.Ε. και Ε.Ε.), τους διαχειριστές,</w:t>
      </w:r>
    </w:p>
    <w:p>
      <w:pPr>
        <w:pStyle w:val="Normal"/>
        <w:spacing w:lineRule="auto" w:line="360" w:before="0" w:after="0"/>
        <w:jc w:val="both"/>
        <w:rPr>
          <w:rFonts w:ascii="Century Gothic" w:hAnsi="Century Gothic"/>
          <w:sz w:val="20"/>
          <w:szCs w:val="20"/>
        </w:rPr>
      </w:pPr>
      <w:r>
        <w:rPr>
          <w:rFonts w:ascii="Century Gothic" w:hAnsi="Century Gothic"/>
          <w:sz w:val="20"/>
          <w:szCs w:val="20"/>
        </w:rPr>
        <w:t>ββ) στις περιπτώσεις ανωνύμων εταιρειών (Α.Ε.), τον Διευθύνοντα Σύμβουλο, καθώς και όλα τα μέλη του Διοικητικού Συμβουλίου.</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2. Όταν ο  προσφέρων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ή/και </w:t>
      </w:r>
    </w:p>
    <w:p>
      <w:pPr>
        <w:pStyle w:val="Normal"/>
        <w:spacing w:lineRule="auto" w:line="360" w:before="0" w:after="0"/>
        <w:jc w:val="both"/>
        <w:rPr>
          <w:rFonts w:ascii="Century Gothic" w:hAnsi="Century Gothic"/>
          <w:sz w:val="20"/>
          <w:szCs w:val="20"/>
        </w:rPr>
      </w:pPr>
      <w:r>
        <w:rPr>
          <w:rFonts w:ascii="Century Gothic" w:hAnsi="Century Gothic"/>
          <w:sz w:val="20"/>
          <w:szCs w:val="20"/>
        </w:rPr>
        <w:t>η αναθέτουσα αρχή  μπορεί να αποδείξει με τα κατάλληλα μέσα ότι ο προσφέρων έχει αθετήσει τις υποχρεώσεις του όσον αφορά την καταβολή φόρων ή εισφορών κοινωνικής ασφάλισης. Αν ο προσφέρων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ασφάλιση.Δεν αποκλείεται  ο προσφέρων,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t>
      </w:r>
    </w:p>
    <w:p>
      <w:pPr>
        <w:pStyle w:val="Normal"/>
        <w:spacing w:lineRule="auto" w:line="360" w:before="0" w:after="0"/>
        <w:jc w:val="both"/>
        <w:rPr>
          <w:rFonts w:ascii="Century Gothic" w:hAnsi="Century Gothic"/>
          <w:sz w:val="20"/>
          <w:szCs w:val="20"/>
        </w:rPr>
      </w:pPr>
      <w:r>
        <w:rPr>
          <w:rFonts w:ascii="Century Gothic" w:hAnsi="Century Gothic"/>
          <w:sz w:val="20"/>
          <w:szCs w:val="20"/>
        </w:rPr>
        <w:t>3. Κατ’εξαίρεση, για επιτακτικούς λόγους δημόσιου συμφέροντος, όπως δημόσιας υγείας ή προστασίας του περιβάλλοντος δεν εφαρμόζονται  οι παράγραφοι  1 και 2. Κατ’εξαίρεση, όταν ο αποκλεισμός είναι σαφώς δυσανάλογος, ιδίως όταν μόνο μικρά ποσά των φόρων ή των εισφορών κοινωνικής ασφάλισης δεν έχουν καταβληθεί ή όταν ο προσφέρων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υποβολής προσφοράς, δεν εφαρμόζεται  η παράγραφος 2.</w:t>
      </w:r>
    </w:p>
    <w:p>
      <w:pPr>
        <w:pStyle w:val="Normal"/>
        <w:spacing w:lineRule="auto" w:line="360" w:before="0" w:after="0"/>
        <w:jc w:val="both"/>
        <w:rPr>
          <w:rFonts w:ascii="Century Gothic" w:hAnsi="Century Gothic"/>
          <w:sz w:val="20"/>
          <w:szCs w:val="20"/>
        </w:rPr>
      </w:pPr>
      <w:r>
        <w:rPr>
          <w:rFonts w:ascii="Century Gothic" w:hAnsi="Century Gothic"/>
          <w:sz w:val="20"/>
          <w:szCs w:val="20"/>
        </w:rPr>
        <w:t>4. Η αναθέτουσα αρχή αποκλείει οικονομικό φορέα σε οποιοδήποτε χρονικό σημείο κατά τη διάρκεια της διαδικασίας σύναψης σύμβασης, όταν αποδεικνύεται ότι αυτός βρίσκεται λόγω πράξεων ή παραλείψεων αυτού είτε πριν είτε κατά τη διαδικασία, σε μία από τις περιπτώσεις των παραγράφων 1, 2 και 4.</w:t>
      </w:r>
    </w:p>
    <w:p>
      <w:pPr>
        <w:pStyle w:val="Normal"/>
        <w:spacing w:lineRule="auto" w:line="360" w:before="0" w:after="0"/>
        <w:jc w:val="both"/>
        <w:rPr>
          <w:rFonts w:ascii="Century Gothic" w:hAnsi="Century Gothic"/>
          <w:sz w:val="20"/>
          <w:szCs w:val="20"/>
        </w:rPr>
      </w:pPr>
      <w:r>
        <w:rPr>
          <w:rFonts w:ascii="Century Gothic" w:hAnsi="Century Gothic"/>
          <w:sz w:val="20"/>
          <w:szCs w:val="20"/>
        </w:rPr>
        <w:t>5. Οικονομικός φορέας που εμπίπτει σε μια από τις καταστάσεις που αναφέρονται στις παραγράφους 1 και 4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Εάν τα στοιχεία κριθούν επαρκή, ο εν λόγω οικονομικός φορέας δεν αποκλείεται από τη διαδικασία σύναψης σύμβασης.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Αν τα μέτρα κριθούν ανεπαρκή, γνωστοποιείται στον οικονομικό φορέα το σκεπτικό της απόφασης αυτής. Οικονομικός φορέας που έχει αποκλειστεί, με τελεσίδικη απόφαση,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στο κράτος - μέλος στο οποίο ισχύει η απόφαση</w:t>
      </w:r>
    </w:p>
    <w:p>
      <w:pPr>
        <w:pStyle w:val="Normal"/>
        <w:spacing w:lineRule="auto" w:line="360" w:before="0" w:after="0"/>
        <w:jc w:val="both"/>
        <w:rPr>
          <w:rFonts w:ascii="Century Gothic" w:hAnsi="Century Gothic"/>
          <w:sz w:val="20"/>
          <w:szCs w:val="20"/>
        </w:rPr>
      </w:pPr>
      <w:r>
        <w:rPr>
          <w:rFonts w:ascii="Century Gothic" w:hAnsi="Century Gothic"/>
          <w:sz w:val="20"/>
          <w:szCs w:val="20"/>
        </w:rPr>
        <w:t>6. 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p>
    <w:p>
      <w:pPr>
        <w:pStyle w:val="Normal"/>
        <w:spacing w:lineRule="auto" w:line="360" w:before="0" w:after="0"/>
        <w:jc w:val="both"/>
        <w:rPr>
          <w:rFonts w:ascii="Century Gothic" w:hAnsi="Century Gothic"/>
          <w:sz w:val="20"/>
          <w:szCs w:val="20"/>
        </w:rPr>
      </w:pPr>
      <w:r>
        <w:rPr>
          <w:rFonts w:ascii="Century Gothic" w:hAnsi="Century Gothic"/>
          <w:sz w:val="20"/>
          <w:szCs w:val="20"/>
        </w:rPr>
        <w:t>7. Οικονομικός φορέας που του έχει επιβληθεί, με την κοινή υπουργική απόφαση του άρθρου 74 του ν. 4412/2016, η ποινή του αποκλεισμού αποκλείεται αυτοδίκαια και από την παρούσα διαδικασία σύναψης δημοσίων (διαγωνισμό).</w:t>
      </w:r>
    </w:p>
    <w:p>
      <w:pPr>
        <w:pStyle w:val="Normal"/>
        <w:spacing w:lineRule="auto" w:line="360" w:before="0" w:after="0"/>
        <w:jc w:val="both"/>
        <w:rPr>
          <w:rFonts w:ascii="Century Gothic" w:hAnsi="Century Gothic"/>
          <w:sz w:val="20"/>
          <w:szCs w:val="20"/>
        </w:rPr>
      </w:pPr>
      <w:r>
        <w:rPr>
          <w:rFonts w:ascii="Century Gothic" w:hAnsi="Century Gothic"/>
          <w:sz w:val="20"/>
          <w:szCs w:val="20"/>
        </w:rPr>
      </w:r>
    </w:p>
    <w:p>
      <w:pPr>
        <w:pStyle w:val="Normal"/>
        <w:spacing w:lineRule="auto" w:line="360" w:before="0" w:after="0"/>
        <w:jc w:val="both"/>
        <w:rPr>
          <w:rFonts w:ascii="Century Gothic" w:hAnsi="Century Gothic"/>
          <w:sz w:val="20"/>
          <w:szCs w:val="20"/>
        </w:rPr>
      </w:pPr>
      <w:r>
        <w:rPr>
          <w:rFonts w:ascii="Century Gothic" w:hAnsi="Century Gothic"/>
          <w:b/>
          <w:sz w:val="20"/>
          <w:szCs w:val="20"/>
        </w:rPr>
        <w:t xml:space="preserve">Άρθρο 14: Κριτήρια επιλογής </w:t>
      </w:r>
      <w:r>
        <w:rPr>
          <w:rFonts w:ascii="Century Gothic" w:hAnsi="Century Gothic"/>
          <w:sz w:val="20"/>
          <w:szCs w:val="20"/>
        </w:rPr>
        <w:t>[</w:t>
      </w:r>
    </w:p>
    <w:p>
      <w:pPr>
        <w:pStyle w:val="Normal"/>
        <w:spacing w:lineRule="auto" w:line="360" w:before="0" w:after="0"/>
        <w:jc w:val="both"/>
        <w:rPr>
          <w:rFonts w:ascii="Century Gothic" w:hAnsi="Century Gothic"/>
          <w:color w:val="00000A"/>
          <w:sz w:val="20"/>
          <w:szCs w:val="20"/>
        </w:rPr>
      </w:pPr>
      <w:r>
        <w:rPr>
          <w:rFonts w:ascii="Century Gothic" w:hAnsi="Century Gothic"/>
          <w:color w:val="00000A"/>
          <w:sz w:val="20"/>
          <w:szCs w:val="20"/>
        </w:rPr>
        <w:t>είναι η πλέον συμφέρουσα από οικονομική άποψη προσφορά αποκλειστικά βάσει τιμής (χαμηλότερη τιμή), όπως ορίζεται στα άρθρα 86 του Ν.4412/2016</w:t>
      </w:r>
    </w:p>
    <w:p>
      <w:pPr>
        <w:pStyle w:val="Normal"/>
        <w:spacing w:lineRule="auto" w:line="360" w:before="0" w:after="0"/>
        <w:jc w:val="both"/>
        <w:rPr>
          <w:rFonts w:ascii="Century Gothic" w:hAnsi="Century Gothic"/>
          <w:sz w:val="20"/>
          <w:szCs w:val="20"/>
        </w:rPr>
      </w:pPr>
      <w:r>
        <w:rPr>
          <w:rFonts w:ascii="Century Gothic" w:hAnsi="Century Gothic"/>
          <w:b/>
          <w:sz w:val="20"/>
          <w:szCs w:val="20"/>
        </w:rPr>
        <w:t xml:space="preserve">Άρθρο 15:  </w:t>
      </w:r>
      <w:r>
        <w:rPr>
          <w:rFonts w:ascii="Century Gothic" w:hAnsi="Century Gothic"/>
          <w:b/>
          <w:color w:val="00000A"/>
          <w:sz w:val="20"/>
          <w:szCs w:val="20"/>
        </w:rPr>
        <w:t>Τυποποιημένο Έντυπο Υπεύθυνης Δήλωσης της παρ. 4 του άρθρου 79 ν. 4412/2016 της ΕΑΑΔΗΣΥ</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Κατά την υποβολή προσφορών οι οικονομικοί φορείς υποβάλλουν  </w:t>
      </w:r>
      <w:r>
        <w:rPr>
          <w:rFonts w:ascii="Century Gothic" w:hAnsi="Century Gothic"/>
          <w:color w:val="00000A"/>
          <w:sz w:val="20"/>
          <w:szCs w:val="20"/>
        </w:rPr>
        <w:t xml:space="preserve">το Τυποποιημένο Έντυπο Υπεύθυνης Δήλωσης της παρ. 4 του άρθρου 79 ν. 4412/2016 της ΕΑΑΔΗΣΥ, </w:t>
      </w:r>
      <w:r>
        <w:rPr>
          <w:rFonts w:ascii="Century Gothic" w:hAnsi="Century Gothic"/>
          <w:sz w:val="20"/>
          <w:szCs w:val="20"/>
        </w:rPr>
        <w:t>ως προκαταρκτική απόδειξη προς αντικατάσταση των πιστοποιητικών που εκδίδουν δημόσιες αρχές ή τρίτα μέρη, επιβεβαιώνοντας ότι ο εν λόγω οικονομικός φορέας πληροί τις ακόλουθες προϋποθέσεις:</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α) δεν βρίσκεται σε μία από τις καταστάσεις του άρθρου 13 της παρούσας, </w:t>
      </w:r>
    </w:p>
    <w:p>
      <w:pPr>
        <w:pStyle w:val="Normal"/>
        <w:spacing w:lineRule="auto" w:line="360" w:before="0" w:after="0"/>
        <w:jc w:val="both"/>
        <w:rPr>
          <w:rFonts w:ascii="Century Gothic" w:hAnsi="Century Gothic"/>
          <w:sz w:val="20"/>
          <w:szCs w:val="20"/>
        </w:rPr>
      </w:pPr>
      <w:r>
        <w:rPr>
          <w:rFonts w:ascii="Century Gothic" w:hAnsi="Century Gothic"/>
          <w:sz w:val="20"/>
          <w:szCs w:val="20"/>
        </w:rPr>
        <w:t>β) πληροί τα σχετικά κριτήρια επιλογής τα οποία έχουν καθοριστεί, σύμφωνα με το άρθρο 14 της παρούσας,</w:t>
      </w:r>
    </w:p>
    <w:p>
      <w:pPr>
        <w:pStyle w:val="Normal"/>
        <w:spacing w:lineRule="auto" w:line="360" w:before="0" w:after="0"/>
        <w:jc w:val="both"/>
        <w:rPr/>
      </w:pPr>
      <w:r>
        <w:rPr>
          <w:rFonts w:ascii="Century Gothic" w:hAnsi="Century Gothic"/>
          <w:sz w:val="20"/>
          <w:szCs w:val="20"/>
        </w:rPr>
        <w:t>Σε οποιοδήποτε χρονικό σημείο κατά τη διάρκεια της διαδικασίας, μπορεί να ζητηθεί από τους προσφέροντες να υποβάλλουν όλα ή ορισμένα δικαιολογητικά της επόμενης παραγράφου, όταν αυτό απαιτείται για την ορθή διεξαγωγή της διαδικασίας.Στην περίπτωση υποβολής προσφοράς από ένωση οικονομικών φορέων, η υπεύθυνη δήλωση του άρθρου 79 παρ. 2 / το τυποποιημένο έντυπο της παρ. 4 κατά περίπτωση, υποβάλλεται χωριστά από κάθε μέλος της ένωσης.</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16: Δικαιολογητικά</w:t>
      </w:r>
      <w:r>
        <w:rPr>
          <w:rStyle w:val="Style15"/>
          <w:rFonts w:ascii="Century Gothic" w:hAnsi="Century Gothic"/>
          <w:b/>
          <w:sz w:val="20"/>
          <w:szCs w:val="20"/>
        </w:rPr>
        <w:footnoteReference w:id="4"/>
      </w:r>
      <w:r>
        <w:rPr>
          <w:rFonts w:ascii="Century Gothic" w:hAnsi="Century Gothic"/>
          <w:b/>
          <w:sz w:val="20"/>
          <w:szCs w:val="20"/>
        </w:rPr>
        <w:t xml:space="preserve"> (Αποδεικτικά μέσα)</w:t>
      </w:r>
    </w:p>
    <w:p>
      <w:pPr>
        <w:pStyle w:val="Normal"/>
        <w:spacing w:lineRule="auto" w:line="360" w:before="0" w:after="0"/>
        <w:jc w:val="both"/>
        <w:rPr>
          <w:rFonts w:ascii="Century Gothic" w:hAnsi="Century Gothic"/>
          <w:sz w:val="20"/>
          <w:szCs w:val="20"/>
        </w:rPr>
      </w:pPr>
      <w:r>
        <w:rPr>
          <w:rFonts w:ascii="Century Gothic" w:hAnsi="Century Gothic"/>
          <w:b/>
          <w:sz w:val="20"/>
          <w:szCs w:val="20"/>
        </w:rPr>
        <w:t>1. Δικαιολογητικά</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α. Το δικαίωμα συμμετοχής και οι όροι και προϋποθέσεις συμμετοχής όπως ορίστηκαν στα άρθρα 12 και 13 της παρούσας, κρίνονται κατά την ημερομηνία λήξης της προθεσμίας υποβολής των προσφορών του άρθρου 7, κατά την υποβολή των δικαιολογητικών σύμφωνα με το άρθρο 11.3 (α) και κατά την σύναψη της σύμβασης σύμφωνα με το άρθρο 11.3 (β) της παρούσας. </w:t>
      </w:r>
    </w:p>
    <w:p>
      <w:pPr>
        <w:pStyle w:val="Normal"/>
        <w:spacing w:lineRule="auto" w:line="360" w:before="0" w:after="0"/>
        <w:jc w:val="both"/>
        <w:rPr>
          <w:rFonts w:ascii="Century Gothic" w:hAnsi="Century Gothic"/>
          <w:sz w:val="20"/>
          <w:szCs w:val="20"/>
        </w:rPr>
      </w:pPr>
      <w:r>
        <w:rPr>
          <w:rFonts w:ascii="Century Gothic" w:hAnsi="Century Gothic"/>
          <w:sz w:val="20"/>
          <w:szCs w:val="20"/>
        </w:rPr>
        <w:t>β. Αν στις ειδικές διατάξεις που διέπουν την έκδοσή τους δεν προβλέπεται χρόνος ισχύος των δικαιολογητικών, θεωρούνται έγκυρα εφόσον φέρουν ημερομηνία έκδοσης εντός των έξι μηνών που προηγούνται της ημερομηνίας του άρθρου 7.</w:t>
      </w:r>
    </w:p>
    <w:p>
      <w:pPr>
        <w:pStyle w:val="Normal"/>
        <w:spacing w:lineRule="auto" w:line="360" w:before="0" w:after="0"/>
        <w:jc w:val="both"/>
        <w:rPr>
          <w:rFonts w:ascii="Century Gothic" w:hAnsi="Century Gothic"/>
          <w:sz w:val="20"/>
          <w:szCs w:val="20"/>
        </w:rPr>
      </w:pPr>
      <w:r>
        <w:rPr>
          <w:rFonts w:ascii="Century Gothic" w:hAnsi="Century Gothic"/>
          <w:sz w:val="20"/>
          <w:szCs w:val="20"/>
        </w:rPr>
        <w:t>γ. Οι ένορκες βεβαιώσεις που τυχόν προσκομίζονται για αναπλήρωση δικαιολογητικών πρέπει επίσης να φέρουν ημερομηνία εντός των έξι μηνών που προηγούνται της ημερομηνίας του άρθρου 7.</w:t>
      </w:r>
    </w:p>
    <w:p>
      <w:pPr>
        <w:pStyle w:val="Normal"/>
        <w:spacing w:lineRule="auto" w:line="360" w:before="0" w:after="0"/>
        <w:jc w:val="both"/>
        <w:rPr/>
      </w:pPr>
      <w:r>
        <w:rPr>
          <w:rFonts w:ascii="Century Gothic" w:hAnsi="Century Gothic"/>
          <w:sz w:val="20"/>
          <w:szCs w:val="20"/>
        </w:rPr>
        <w:t xml:space="preserve">δ. </w:t>
      </w:r>
      <w:r>
        <w:rPr>
          <w:rFonts w:ascii="Century Gothic" w:hAnsi="Century Gothic"/>
          <w:b w:val="false"/>
          <w:bCs w:val="false"/>
          <w:color w:val="00000A"/>
          <w:sz w:val="20"/>
          <w:szCs w:val="20"/>
        </w:rPr>
        <w:t>Η πλήρωση των απαιτήσεων του άρθρου 12 και 13 π</w:t>
      </w:r>
      <w:r>
        <w:rPr>
          <w:rFonts w:ascii="Century Gothic" w:hAnsi="Century Gothic"/>
          <w:sz w:val="20"/>
          <w:szCs w:val="20"/>
        </w:rPr>
        <w:t>ρέπει να ικανοποιείται από όλα τα μέλη της ένωσης. .</w:t>
      </w:r>
    </w:p>
    <w:p>
      <w:pPr>
        <w:pStyle w:val="Normal"/>
        <w:spacing w:lineRule="auto" w:line="360" w:before="0" w:after="0"/>
        <w:jc w:val="both"/>
        <w:rPr>
          <w:rFonts w:ascii="Century Gothic" w:hAnsi="Century Gothic"/>
          <w:sz w:val="20"/>
          <w:szCs w:val="20"/>
        </w:rPr>
      </w:pPr>
      <w:r>
        <w:rPr>
          <w:rFonts w:ascii="Century Gothic" w:hAnsi="Century Gothic"/>
          <w:sz w:val="20"/>
          <w:szCs w:val="20"/>
        </w:rPr>
        <w:t>ε. Οι οικονομικοί φορείς δεν υποχρεούνται να υποβάλουν δικαιολογητικά, όταν η αναθέτουσα αρχή που έχει αναθέσει τη σύμβαση διαθέτει ήδη τα δικαιολογητικά αυτά</w:t>
      </w:r>
    </w:p>
    <w:p>
      <w:pPr>
        <w:pStyle w:val="Normal"/>
        <w:spacing w:lineRule="auto" w:line="360" w:before="0" w:after="0"/>
        <w:jc w:val="both"/>
        <w:rPr>
          <w:rFonts w:ascii="Century Gothic" w:hAnsi="Century Gothic"/>
          <w:sz w:val="20"/>
          <w:szCs w:val="20"/>
        </w:rPr>
      </w:pPr>
      <w:r>
        <w:rPr>
          <w:rFonts w:ascii="Century Gothic" w:hAnsi="Century Gothic"/>
          <w:b/>
          <w:sz w:val="20"/>
          <w:szCs w:val="20"/>
        </w:rPr>
        <w:t>2.   Δικαιολογητικά μη συνδρομής λόγων αποκλεισμού του άρθρου 13</w:t>
      </w:r>
    </w:p>
    <w:p>
      <w:pPr>
        <w:pStyle w:val="Normal"/>
        <w:spacing w:lineRule="auto" w:line="360" w:before="0" w:after="0"/>
        <w:jc w:val="both"/>
        <w:rPr>
          <w:rFonts w:ascii="Century Gothic" w:hAnsi="Century Gothic"/>
          <w:sz w:val="20"/>
          <w:szCs w:val="20"/>
        </w:rPr>
      </w:pPr>
      <w:r>
        <w:rPr>
          <w:rFonts w:ascii="Century Gothic" w:hAnsi="Century Gothic"/>
          <w:sz w:val="20"/>
          <w:szCs w:val="20"/>
        </w:rPr>
        <w:t>Για την απόδειξη της μη συνδρομής των λόγων αποκλεισμού του άρθρου 13 οι οικονομικοί φορείς προσκομίζουν αντίστοιχα τα παρακάτω δικαιολογητικά:</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α.</w:t>
      </w:r>
      <w:r>
        <w:rPr>
          <w:rFonts w:ascii="Century Gothic" w:hAnsi="Century Gothic"/>
          <w:sz w:val="20"/>
          <w:szCs w:val="20"/>
        </w:rPr>
        <w:t xml:space="preserve"> για την παράγραφο 1 του άρθρου 13 της παρούσας: απόσπασμα του σχετικού μητρώου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πληρούνται αυτές οι προϋποθέσεις. Η υποχρέωση προσκόμισης του ως άνω αποσπάσματος αφορά και τα πρόσωπα του τελευταίου εδαφίου της παραγράφου 1 του άρθρου 13.</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β.</w:t>
      </w:r>
      <w:r>
        <w:rPr>
          <w:rFonts w:ascii="Century Gothic" w:hAnsi="Century Gothic"/>
          <w:sz w:val="20"/>
          <w:szCs w:val="20"/>
        </w:rPr>
        <w:t xml:space="preserve"> για την παράγραφο 2 του άρθρου 13: πιστοποιητικό που εκδίδεται από την αρμόδια αρχή του οικείου κράτους - μέλους ή χώρας, περί του ότι έχουν εκπληρωθεί οι υποχρεώσεις του οικονομικού φορέα, όσον αφορά στην καταβολή φόρων (φορολογική ενημερότητα) και στην καταβολή των εισφορών κοινωνικής ασφάλισης (ασφαλιστική ενημερότητα), σύμφωνα με την ισχύουσα νομοθεσία του κράτους εγκατάστασης ή την ελληνική νομοθεσία αντίστοιχα.</w:t>
      </w:r>
    </w:p>
    <w:p>
      <w:pPr>
        <w:pStyle w:val="Normal"/>
        <w:spacing w:lineRule="auto" w:line="360" w:before="0" w:after="0"/>
        <w:jc w:val="both"/>
        <w:rPr>
          <w:rFonts w:ascii="Century Gothic" w:hAnsi="Century Gothic"/>
          <w:sz w:val="20"/>
          <w:szCs w:val="20"/>
        </w:rPr>
      </w:pPr>
      <w:r>
        <w:rPr>
          <w:rFonts w:ascii="Century Gothic" w:hAnsi="Century Gothic"/>
          <w:sz w:val="20"/>
          <w:szCs w:val="20"/>
        </w:rPr>
        <w:t>Για τους οικονομικούς φορείς που είναι εγκατεστημένοι στην Ελλάδα τα σχετικά δικαιολογητικά είναι:</w:t>
      </w:r>
    </w:p>
    <w:p>
      <w:pPr>
        <w:pStyle w:val="Normal"/>
        <w:spacing w:lineRule="auto" w:line="360" w:before="0" w:after="0"/>
        <w:jc w:val="both"/>
        <w:rPr>
          <w:rFonts w:ascii="Century Gothic" w:hAnsi="Century Gothic"/>
          <w:sz w:val="20"/>
          <w:szCs w:val="20"/>
        </w:rPr>
      </w:pPr>
      <w:r>
        <w:rPr>
          <w:rFonts w:ascii="Century Gothic" w:hAnsi="Century Gothic"/>
          <w:sz w:val="20"/>
          <w:szCs w:val="20"/>
        </w:rPr>
        <w:t>(</w:t>
      </w:r>
      <w:r>
        <w:rPr>
          <w:rFonts w:ascii="Century Gothic" w:hAnsi="Century Gothic"/>
          <w:sz w:val="20"/>
          <w:szCs w:val="20"/>
          <w:lang w:val="en-US"/>
        </w:rPr>
        <w:t>i</w:t>
      </w:r>
      <w:r>
        <w:rPr>
          <w:rFonts w:ascii="Century Gothic" w:hAnsi="Century Gothic"/>
          <w:sz w:val="20"/>
          <w:szCs w:val="20"/>
        </w:rPr>
        <w:t>) φορολογική ενημερότητα που εκδίδεται από το Υπουργείο Οικονομικών για τον οικονομικό φορέα,</w:t>
      </w:r>
    </w:p>
    <w:p>
      <w:pPr>
        <w:pStyle w:val="Normal"/>
        <w:spacing w:lineRule="auto" w:line="360" w:before="0" w:after="0"/>
        <w:jc w:val="both"/>
        <w:rPr>
          <w:rFonts w:ascii="Century Gothic" w:hAnsi="Century Gothic"/>
          <w:sz w:val="20"/>
          <w:szCs w:val="20"/>
        </w:rPr>
      </w:pPr>
      <w:r>
        <w:rPr>
          <w:rFonts w:ascii="Century Gothic" w:hAnsi="Century Gothic"/>
          <w:sz w:val="20"/>
          <w:szCs w:val="20"/>
        </w:rPr>
        <w:t>(ιι) ασφαλιστική ενημερότητα που εκδίδεται από την αρμόδια κατά περίπτωση Αρχή και αφορά τόσο την κύρια όσο και την επικουρική ασφάλιση.</w:t>
      </w:r>
    </w:p>
    <w:p>
      <w:pPr>
        <w:pStyle w:val="Normal"/>
        <w:spacing w:lineRule="auto" w:line="360" w:before="0" w:after="0"/>
        <w:jc w:val="both"/>
        <w:rPr>
          <w:rFonts w:ascii="Century Gothic" w:hAnsi="Century Gothic"/>
          <w:sz w:val="20"/>
          <w:szCs w:val="20"/>
        </w:rPr>
      </w:pPr>
      <w:r>
        <w:rPr>
          <w:rFonts w:ascii="Century Gothic" w:hAnsi="Century Gothic"/>
          <w:sz w:val="20"/>
          <w:szCs w:val="20"/>
        </w:rPr>
        <w:t>Η ασφαλιστική ενημερότητα καλύπτει τις ασφαλιστικές υποχρεώσεις του προσφέροντος οικονομικού φορέα ως φυσικό ή νομικό πρόσωπο για το προσωπικό τους με σχέση εξαρτημένης εργασίας,</w:t>
      </w:r>
      <w:r>
        <w:rPr>
          <w:rFonts w:ascii="Century Gothic" w:hAnsi="Century Gothic"/>
          <w:color w:val="000000"/>
          <w:sz w:val="20"/>
          <w:szCs w:val="20"/>
          <w:shd w:fill="FFFFFF" w:val="clear"/>
        </w:rPr>
        <w:t xml:space="preserve"> συμπεριλαμβανομένων, όσον αφορά τα νομικά πρόσωπα, και των εκ των μελών της διοίκησής τους εργαζομένων με οποιαδήποτε σχέση εργασίας σε αυτήν</w:t>
      </w:r>
      <w:r>
        <w:rPr>
          <w:rFonts w:ascii="Century Gothic" w:hAnsi="Century Gothic"/>
          <w:sz w:val="20"/>
          <w:szCs w:val="20"/>
        </w:rPr>
        <w:t>.</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γ.</w:t>
      </w:r>
      <w:r>
        <w:rPr>
          <w:rFonts w:ascii="Century Gothic" w:hAnsi="Century Gothic"/>
          <w:sz w:val="20"/>
          <w:szCs w:val="20"/>
        </w:rPr>
        <w:t xml:space="preserve"> αν το κράτος-μέλος ή χώρα δεν εκδίδει τα υπό των περ. (α) και (β) τέτοιου είδους έγγραφα ή πιστοποιητικά ή όπου τα έγγραφα ή τα πιστοποιητικά αυτά δεν καλύπτουν όλες τις περιπτώσεις υπό 1 και 2 του άρθρου 13,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μέλους ή της χώρας καταγωγής ή της χώρας όπου είναι εγκατεστημένος ο οικονομικός φορέας.</w:t>
      </w:r>
    </w:p>
    <w:p>
      <w:pPr>
        <w:pStyle w:val="Normal"/>
        <w:spacing w:lineRule="auto" w:line="360" w:before="0" w:after="0"/>
        <w:jc w:val="both"/>
        <w:rPr>
          <w:rFonts w:ascii="Century Gothic" w:hAnsi="Century Gothic"/>
          <w:sz w:val="20"/>
          <w:szCs w:val="20"/>
        </w:rPr>
      </w:pPr>
      <w:r>
        <w:rPr>
          <w:rFonts w:ascii="Century Gothic" w:hAnsi="Century Gothic"/>
          <w:sz w:val="20"/>
          <w:szCs w:val="20"/>
        </w:rPr>
        <w:t>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στα υπό 1 και 2 του άρθρου 13 της παρούσας.</w:t>
      </w:r>
    </w:p>
    <w:p>
      <w:pPr>
        <w:pStyle w:val="Normal"/>
        <w:spacing w:lineRule="auto" w:line="360" w:before="0" w:after="0"/>
        <w:jc w:val="both"/>
        <w:rPr>
          <w:rFonts w:ascii="Century Gothic" w:hAnsi="Century Gothic"/>
          <w:sz w:val="20"/>
          <w:szCs w:val="20"/>
        </w:rPr>
      </w:pPr>
      <w:r>
        <w:rPr>
          <w:rFonts w:ascii="Century Gothic" w:hAnsi="Century Gothic"/>
          <w:sz w:val="20"/>
          <w:szCs w:val="20"/>
        </w:rPr>
        <w:t>Αν διαπιστωθεί με οποιονδήποτε τρόπο ότι, στην εν λόγω χώρα εκδίδονται τα υπόψη πιστοποιητικά, η προσφορά του διαγωνιζόμενου απορρίπτεται.</w:t>
      </w:r>
    </w:p>
    <w:p>
      <w:pPr>
        <w:pStyle w:val="Normal"/>
        <w:spacing w:lineRule="auto" w:line="360" w:before="0" w:after="0"/>
        <w:jc w:val="both"/>
        <w:rPr>
          <w:color w:val="FF0000"/>
        </w:rPr>
      </w:pPr>
      <w:r>
        <w:rPr>
          <w:color w:val="FF0000"/>
        </w:rPr>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17: Χρόνος ισχύος προσφορών</w:t>
      </w:r>
    </w:p>
    <w:p>
      <w:pPr>
        <w:pStyle w:val="Normal"/>
        <w:spacing w:lineRule="auto" w:line="360" w:before="0" w:after="0"/>
        <w:jc w:val="both"/>
        <w:rPr>
          <w:rFonts w:ascii="Century Gothic" w:hAnsi="Century Gothic"/>
          <w:sz w:val="20"/>
          <w:szCs w:val="20"/>
        </w:rPr>
      </w:pPr>
      <w:r>
        <w:rPr>
          <w:rFonts w:ascii="Century Gothic" w:hAnsi="Century Gothic"/>
          <w:sz w:val="20"/>
          <w:szCs w:val="20"/>
        </w:rPr>
        <w:t>Κάθε υποβαλλόμενη προσφορά δεσμεύει τον συμμετέχοντα στον διαγωνισμό κατά τη διάταξη του άρθρου 97 του Ν. 4412/2016, για διάστημα 2 μηνών, από την ημερομηνία υποβολής των προσφορών.</w:t>
      </w:r>
    </w:p>
    <w:p>
      <w:pPr>
        <w:pStyle w:val="Normal"/>
        <w:spacing w:lineRule="auto" w:line="360" w:before="0" w:after="0"/>
        <w:jc w:val="both"/>
        <w:rPr>
          <w:rFonts w:ascii="Century Gothic" w:hAnsi="Century Gothic"/>
          <w:sz w:val="20"/>
          <w:szCs w:val="20"/>
        </w:rPr>
      </w:pPr>
      <w:r>
        <w:rPr>
          <w:rFonts w:ascii="Century Gothic" w:hAnsi="Century Gothic"/>
          <w:b/>
          <w:sz w:val="20"/>
          <w:szCs w:val="20"/>
        </w:rPr>
        <w:t xml:space="preserve">Άρθρο 18: Εγγύηση καλής εκτέλεσης </w:t>
      </w:r>
    </w:p>
    <w:p>
      <w:pPr>
        <w:pStyle w:val="Normal"/>
        <w:spacing w:lineRule="auto" w:line="360" w:before="0" w:after="0"/>
        <w:jc w:val="both"/>
        <w:rPr>
          <w:rFonts w:ascii="Century Gothic" w:hAnsi="Century Gothic"/>
          <w:sz w:val="20"/>
          <w:szCs w:val="20"/>
        </w:rPr>
      </w:pPr>
      <w:r>
        <w:rPr>
          <w:rFonts w:ascii="Century Gothic" w:hAnsi="Century Gothic"/>
          <w:sz w:val="20"/>
          <w:szCs w:val="20"/>
        </w:rPr>
        <w:t>1. Για την υπογραφή της σύμβασης απαιτείται η παροχή εγγύησης καλής εκτέλεσης, σύμφωνα με το άρθρο 72 παρ. 1 β) του Ν.4412/2016, το ύψος της οποίας καθορίζεται σε ποσοστό 5% επί της αξίας της σύμβασης, χωρίς Φ.Π.Α.</w:t>
      </w:r>
    </w:p>
    <w:p>
      <w:pPr>
        <w:pStyle w:val="Normal"/>
        <w:spacing w:lineRule="auto" w:line="360" w:before="0" w:after="0"/>
        <w:jc w:val="both"/>
        <w:rPr>
          <w:rFonts w:ascii="Century Gothic" w:hAnsi="Century Gothic"/>
          <w:sz w:val="20"/>
          <w:szCs w:val="20"/>
        </w:rPr>
      </w:pPr>
      <w:r>
        <w:rPr>
          <w:rFonts w:ascii="Century Gothic" w:hAnsi="Century Gothic"/>
          <w:sz w:val="20"/>
          <w:szCs w:val="20"/>
        </w:rPr>
        <w:t>Οι εγγυητικές επιστολές καλής εκτέλεσης, προκειμένου να γίνουν αποδεκτές από την υπηρεσία, πρέπει να περιλαμβάνουν κατ’ ελάχιστον τα κατωτέρω αναφερόμενα στοιχεία.</w:t>
      </w:r>
    </w:p>
    <w:p>
      <w:pPr>
        <w:pStyle w:val="Normal"/>
        <w:spacing w:lineRule="auto" w:line="360" w:before="0" w:after="0"/>
        <w:jc w:val="both"/>
        <w:rPr>
          <w:rFonts w:ascii="Century Gothic" w:hAnsi="Century Gothic"/>
          <w:sz w:val="20"/>
          <w:szCs w:val="20"/>
        </w:rPr>
      </w:pPr>
      <w:r>
        <w:rPr>
          <w:rFonts w:ascii="Century Gothic" w:hAnsi="Century Gothic"/>
          <w:sz w:val="20"/>
          <w:szCs w:val="20"/>
        </w:rPr>
        <w:t>2. Οι εγγυητικές επιστολές συμμετοχής περιλαμβάνουν κατ’ ελάχιστον τα ακόλουθα στοιχεία:</w:t>
      </w:r>
    </w:p>
    <w:p>
      <w:pPr>
        <w:pStyle w:val="Normal"/>
        <w:spacing w:lineRule="auto" w:line="360" w:before="0" w:after="0"/>
        <w:jc w:val="both"/>
        <w:rPr>
          <w:rFonts w:ascii="Century Gothic" w:hAnsi="Century Gothic"/>
          <w:sz w:val="20"/>
          <w:szCs w:val="20"/>
        </w:rPr>
      </w:pPr>
      <w:r>
        <w:rPr>
          <w:rFonts w:ascii="Century Gothic" w:hAnsi="Century Gothic"/>
          <w:sz w:val="20"/>
          <w:szCs w:val="20"/>
        </w:rPr>
        <w:t>α) την ημερομηνία έκδοσης,</w:t>
      </w:r>
    </w:p>
    <w:p>
      <w:pPr>
        <w:pStyle w:val="Normal"/>
        <w:spacing w:lineRule="auto" w:line="360" w:before="0" w:after="0"/>
        <w:jc w:val="both"/>
        <w:rPr>
          <w:rFonts w:ascii="Century Gothic" w:hAnsi="Century Gothic"/>
          <w:sz w:val="20"/>
          <w:szCs w:val="20"/>
        </w:rPr>
      </w:pPr>
      <w:r>
        <w:rPr>
          <w:rFonts w:ascii="Century Gothic" w:hAnsi="Century Gothic"/>
          <w:sz w:val="20"/>
          <w:szCs w:val="20"/>
        </w:rPr>
        <w:t>β) τον εκδότη,</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γ) την αναθέτουσα αρχή προς την οποία απευθύνονται </w:t>
      </w:r>
    </w:p>
    <w:p>
      <w:pPr>
        <w:pStyle w:val="Normal"/>
        <w:spacing w:lineRule="auto" w:line="360" w:before="0" w:after="0"/>
        <w:jc w:val="both"/>
        <w:rPr>
          <w:rFonts w:ascii="Century Gothic" w:hAnsi="Century Gothic"/>
          <w:sz w:val="20"/>
          <w:szCs w:val="20"/>
        </w:rPr>
      </w:pPr>
      <w:r>
        <w:rPr>
          <w:rFonts w:ascii="Century Gothic" w:hAnsi="Century Gothic"/>
          <w:sz w:val="20"/>
          <w:szCs w:val="20"/>
        </w:rPr>
        <w:t>δ) τον αριθμό της εγγύησης,</w:t>
      </w:r>
    </w:p>
    <w:p>
      <w:pPr>
        <w:pStyle w:val="Normal"/>
        <w:spacing w:lineRule="auto" w:line="360" w:before="0" w:after="0"/>
        <w:jc w:val="both"/>
        <w:rPr>
          <w:rFonts w:ascii="Century Gothic" w:hAnsi="Century Gothic"/>
          <w:sz w:val="20"/>
          <w:szCs w:val="20"/>
        </w:rPr>
      </w:pPr>
      <w:r>
        <w:rPr>
          <w:rFonts w:ascii="Century Gothic" w:hAnsi="Century Gothic"/>
          <w:sz w:val="20"/>
          <w:szCs w:val="20"/>
        </w:rPr>
        <w:t>ε) το ποσό που καλύπτει η εγγύηση,</w:t>
      </w:r>
    </w:p>
    <w:p>
      <w:pPr>
        <w:pStyle w:val="Normal"/>
        <w:spacing w:lineRule="auto" w:line="360" w:before="0" w:after="0"/>
        <w:jc w:val="both"/>
        <w:rPr>
          <w:rFonts w:ascii="Century Gothic" w:hAnsi="Century Gothic"/>
          <w:sz w:val="20"/>
          <w:szCs w:val="20"/>
        </w:rPr>
      </w:pPr>
      <w:r>
        <w:rPr>
          <w:rFonts w:ascii="Century Gothic" w:hAnsi="Century Gothic"/>
          <w:sz w:val="20"/>
          <w:szCs w:val="20"/>
        </w:rPr>
        <w:t>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w:t>
      </w:r>
    </w:p>
    <w:p>
      <w:pPr>
        <w:pStyle w:val="Normal"/>
        <w:spacing w:lineRule="auto" w:line="360" w:before="0" w:after="0"/>
        <w:jc w:val="both"/>
        <w:rPr>
          <w:rFonts w:ascii="Century Gothic" w:hAnsi="Century Gothic"/>
          <w:sz w:val="20"/>
          <w:szCs w:val="20"/>
        </w:rPr>
      </w:pPr>
      <w:r>
        <w:rPr>
          <w:rFonts w:ascii="Century Gothic" w:hAnsi="Century Gothic"/>
          <w:sz w:val="20"/>
          <w:szCs w:val="20"/>
        </w:rPr>
        <w:t>ζ) τους όρους ότι: αα) η εγγύηση παρέχεται ανέκκλητα και ανεπιφύλακτα, ο δε εκδότης παραιτείται του δικαιώματος της διαιρέσεως και της διζήσεως, και ββ) ότι σε περίπτωση κατάπτωσης αυτής, το ποσό της κατάπτωσης υπόκειται στο εκάστοτε ισχύον τέλος χαρτοσήμου,</w:t>
      </w:r>
    </w:p>
    <w:p>
      <w:pPr>
        <w:pStyle w:val="Normal"/>
        <w:spacing w:lineRule="auto" w:line="360" w:before="0" w:after="0"/>
        <w:jc w:val="both"/>
        <w:rPr>
          <w:rFonts w:ascii="Century Gothic" w:hAnsi="Century Gothic"/>
          <w:sz w:val="20"/>
          <w:szCs w:val="20"/>
        </w:rPr>
      </w:pPr>
      <w:r>
        <w:rPr>
          <w:rFonts w:ascii="Century Gothic" w:hAnsi="Century Gothic"/>
          <w:sz w:val="20"/>
          <w:szCs w:val="20"/>
        </w:rPr>
        <w:t>η) τα στοιχεία της σχετικής διακήρυξης και την ημερομηνία διενέργειας του διαγωνισμού,</w:t>
      </w:r>
    </w:p>
    <w:p>
      <w:pPr>
        <w:pStyle w:val="Normal"/>
        <w:spacing w:lineRule="auto" w:line="360" w:before="0" w:after="0"/>
        <w:jc w:val="both"/>
        <w:rPr>
          <w:rFonts w:ascii="Century Gothic" w:hAnsi="Century Gothic"/>
          <w:sz w:val="20"/>
          <w:szCs w:val="20"/>
        </w:rPr>
      </w:pPr>
      <w:r>
        <w:rPr>
          <w:rFonts w:ascii="Century Gothic" w:hAnsi="Century Gothic"/>
          <w:sz w:val="20"/>
          <w:szCs w:val="20"/>
        </w:rPr>
        <w:t>θ) την ημερομηνία λήξης ή τον χρόνο ισχύος της εγγύησης,</w:t>
      </w:r>
    </w:p>
    <w:p>
      <w:pPr>
        <w:pStyle w:val="Normal"/>
        <w:spacing w:lineRule="auto" w:line="360" w:before="0" w:after="0"/>
        <w:jc w:val="both"/>
        <w:rPr>
          <w:rFonts w:ascii="Century Gothic" w:hAnsi="Century Gothic"/>
          <w:sz w:val="20"/>
          <w:szCs w:val="20"/>
        </w:rPr>
      </w:pPr>
      <w:r>
        <w:rPr>
          <w:rFonts w:ascii="Century Gothic" w:hAnsi="Century Gothic"/>
          <w:sz w:val="20"/>
          <w:szCs w:val="20"/>
        </w:rPr>
        <w:t>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w:t>
      </w:r>
    </w:p>
    <w:p>
      <w:pPr>
        <w:pStyle w:val="Normal"/>
        <w:spacing w:lineRule="auto" w:line="360" w:before="0" w:after="0"/>
        <w:jc w:val="both"/>
        <w:rPr>
          <w:rFonts w:ascii="Century Gothic" w:hAnsi="Century Gothic"/>
          <w:sz w:val="20"/>
          <w:szCs w:val="20"/>
        </w:rPr>
      </w:pPr>
      <w:r>
        <w:rPr>
          <w:rFonts w:ascii="Century Gothic" w:hAnsi="Century Gothic"/>
          <w:sz w:val="20"/>
          <w:szCs w:val="20"/>
        </w:rPr>
        <w:t>ια) τον αριθμό και τον τίτλο της σχετικής σύμβασης</w:t>
      </w:r>
    </w:p>
    <w:p>
      <w:pPr>
        <w:pStyle w:val="Normal"/>
        <w:spacing w:lineRule="auto" w:line="360" w:before="0" w:after="0"/>
        <w:jc w:val="both"/>
        <w:rPr>
          <w:rFonts w:ascii="Century Gothic" w:hAnsi="Century Gothic"/>
          <w:sz w:val="20"/>
          <w:szCs w:val="20"/>
        </w:rPr>
      </w:pPr>
      <w:r>
        <w:rPr>
          <w:rFonts w:ascii="Century Gothic" w:hAnsi="Century Gothic"/>
          <w:sz w:val="20"/>
          <w:szCs w:val="20"/>
        </w:rPr>
        <w:t>3. Οι εγγυητικές επιστολές εκδίδονται από πιστωτικά ιδρύματα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Ε.Τ.Α.Α. - Τ.Σ.Μ.Ε.Δ.Ε.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pPr>
        <w:pStyle w:val="Normal"/>
        <w:spacing w:lineRule="auto" w:line="360" w:before="0" w:after="0"/>
        <w:jc w:val="both"/>
        <w:rPr>
          <w:rFonts w:ascii="Century Gothic" w:hAnsi="Century Gothic"/>
          <w:sz w:val="20"/>
          <w:szCs w:val="20"/>
        </w:rPr>
      </w:pPr>
      <w:r>
        <w:rPr>
          <w:rFonts w:ascii="Century Gothic" w:hAnsi="Century Gothic"/>
          <w:sz w:val="20"/>
          <w:szCs w:val="20"/>
        </w:rPr>
        <w:t>4. Οι εγγυητικές επιστολές εκδίδονται κατ’ επιλογή του αναδόχου από ένα ή περισσότερους εκδότες της παραπάνω παραγράφου, ανεξαρτήτως του ύψους των.</w:t>
      </w:r>
    </w:p>
    <w:p>
      <w:pPr>
        <w:pStyle w:val="Normal"/>
        <w:spacing w:lineRule="auto" w:line="360" w:before="0" w:after="0"/>
        <w:jc w:val="both"/>
        <w:rPr>
          <w:rFonts w:ascii="Century Gothic" w:hAnsi="Century Gothic"/>
          <w:sz w:val="20"/>
          <w:szCs w:val="20"/>
        </w:rPr>
      </w:pPr>
      <w:r>
        <w:rPr>
          <w:rFonts w:ascii="Century Gothic" w:hAnsi="Century Gothic"/>
          <w:sz w:val="20"/>
          <w:szCs w:val="20"/>
        </w:rPr>
        <w:t>5. Σε περίπτωση ανάθεσης της σύμβασης σε ένωση (κοινοπραξία) , όλα τα μέλη της ευθύνονται έναντι της αναθέτουσας αρχής αλληλέγγυα και εις ολόκληρον μέχρι πλήρους εκτέλεσης της σύμβασης.</w:t>
      </w:r>
    </w:p>
    <w:p>
      <w:pPr>
        <w:pStyle w:val="Normal"/>
        <w:spacing w:lineRule="auto" w:line="360" w:before="0" w:after="0"/>
        <w:jc w:val="both"/>
        <w:rPr>
          <w:rFonts w:ascii="Century Gothic" w:hAnsi="Century Gothic"/>
          <w:sz w:val="20"/>
          <w:szCs w:val="20"/>
        </w:rPr>
      </w:pPr>
      <w:r>
        <w:rPr>
          <w:rFonts w:ascii="Century Gothic" w:hAnsi="Century Gothic"/>
          <w:b/>
          <w:sz w:val="20"/>
          <w:szCs w:val="20"/>
        </w:rPr>
        <w:t xml:space="preserve">Άρθρο 19: Ενστάσεις </w:t>
      </w:r>
    </w:p>
    <w:p>
      <w:pPr>
        <w:pStyle w:val="Normal"/>
        <w:spacing w:lineRule="auto" w:line="360" w:before="0" w:after="0"/>
        <w:jc w:val="both"/>
        <w:rPr>
          <w:rFonts w:ascii="Century Gothic" w:hAnsi="Century Gothic"/>
          <w:sz w:val="20"/>
          <w:szCs w:val="20"/>
        </w:rPr>
      </w:pPr>
      <w:r>
        <w:rPr>
          <w:rFonts w:ascii="Century Gothic" w:hAnsi="Century Gothic"/>
          <w:sz w:val="20"/>
          <w:szCs w:val="20"/>
        </w:rPr>
        <w:t>Κατά των πράξεων της αναθέτουσας αρχής χωρεί ένσταση. Η προθεσμία άσκησής της είναι πέντε (5) ημέρες από την κοινοποίηση της προσβαλλόμενης πράξης στον ενδιαφερόμενο οικονομικό φορέα.</w:t>
      </w:r>
    </w:p>
    <w:p>
      <w:pPr>
        <w:pStyle w:val="Normal"/>
        <w:spacing w:lineRule="auto" w:line="360" w:before="0" w:after="0"/>
        <w:jc w:val="both"/>
        <w:rPr/>
      </w:pPr>
      <w:r>
        <w:rPr>
          <w:rFonts w:ascii="Century Gothic" w:hAnsi="Century Gothic"/>
          <w:sz w:val="20"/>
          <w:szCs w:val="20"/>
        </w:rPr>
        <w:t>Η ένσταση υποβάλλεται ενώπιον της Οικονομικής Επιτροπής του Δήμου, η οποία αποφασίζει, ύστερα από γνώμη της Επιτροπής αξιολόγησης ενστάσεων εντός προθεσμίας δέκα (10) ημερών, μετά την άπρακτη πάροδο της οποίας τεκμαίρεται η απόρριψη της ένστασης. Για το παραδεκτό της άσκησης ένστασης, απαιτείται, με την κατάθεση της ένστασης, η καταβολή παραβόλου υπέρ του Δημοσίου ποσού ίσου με το ένα τοις εκατό (1%) επί της εκτιμώμενης αξίας της σύμβασης. Το παράβολο επιστρέφεται με πράξη της Οικονομικής Επιτροπής του Δήμου, αν η ένσταση γίνει δεκτή.</w:t>
      </w:r>
    </w:p>
    <w:p>
      <w:pPr>
        <w:pStyle w:val="Normal"/>
        <w:spacing w:lineRule="auto" w:line="360" w:before="0" w:after="0"/>
        <w:jc w:val="both"/>
        <w:rPr>
          <w:rFonts w:ascii="Century Gothic" w:hAnsi="Century Gothic"/>
          <w:sz w:val="20"/>
          <w:szCs w:val="20"/>
        </w:rPr>
      </w:pPr>
      <w:r>
        <w:rPr>
          <w:rFonts w:ascii="Century Gothic" w:hAnsi="Century Gothic"/>
          <w:sz w:val="20"/>
          <w:szCs w:val="20"/>
        </w:rPr>
        <w:t>Κατά της διακήρυξης ή λοιπών εγγράφων της σύμβασης του άρθρου 2 της παρούσας, χωρεί ένσταση η οποία υποβάλλεται στην Οικονομική Επιτροπή του Δήμου μέχρι πέντε (5) ημέρες πριν από την καταληκτική ημερομηνία υποβολής προσφορών. Επί της ένστασης αποφασίζει η Οικονομική Επιτροπή του Δήμου, ύστερα από γνώμη της Επιτροπής αξιολόγησης ενστάσεων, εντός προθεσμίας δέκα (10) ημερών, μετά την άπρακτη πάροδο της οποίας τεκμαίρεται η απόρριψη της ένστασης. Για το παραδεκτό της άσκησης ένστασης, απαιτείται, με την κατάθεση της ένστασης, η καταβολή παραβόλου υπέρ του Δημοσίου ποσού ίσου με το ένα τοις εκατό (1%) επί της εκτιμώμενης αξίας της σύμβασης. Το παράβολο επιστρέφεται με πράξη της αναθέτουσας αρχής, αν η ένσταση γίνει δεκτή.</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20: Γλώσσα διαδικασίας</w:t>
      </w:r>
    </w:p>
    <w:p>
      <w:pPr>
        <w:pStyle w:val="Normal"/>
        <w:spacing w:lineRule="auto" w:line="360" w:before="0" w:after="0"/>
        <w:jc w:val="both"/>
        <w:rPr>
          <w:rFonts w:ascii="Century Gothic" w:hAnsi="Century Gothic"/>
          <w:sz w:val="20"/>
          <w:szCs w:val="20"/>
        </w:rPr>
      </w:pPr>
      <w:r>
        <w:rPr>
          <w:rFonts w:ascii="Century Gothic" w:hAnsi="Century Gothic"/>
          <w:sz w:val="20"/>
          <w:szCs w:val="20"/>
        </w:rPr>
        <w:t>1 Τα έγγραφα της σύμβασης συντάσσονται υποχρεωτικά στην ελληνική γλώσσα και προαιρετικά και σε άλλες γλώσσες, συνολικά ή μερικά. Σε περίπτωση ασυμφωνίας μεταξύ των τμημάτων των εγγράφων της σύμβασης που έχουν συνταχθεί σε περισσότερες γλώσσες, επικρατεί η ελληνική έκδοση. Τυχόν ενστάσεις υποβάλλονται στην ελληνική γλώσσα.</w:t>
      </w:r>
    </w:p>
    <w:p>
      <w:pPr>
        <w:pStyle w:val="Normal"/>
        <w:spacing w:lineRule="auto" w:line="360" w:before="0" w:after="0"/>
        <w:jc w:val="both"/>
        <w:rPr>
          <w:rFonts w:ascii="Century Gothic" w:hAnsi="Century Gothic"/>
          <w:sz w:val="20"/>
          <w:szCs w:val="20"/>
        </w:rPr>
      </w:pPr>
      <w:r>
        <w:rPr>
          <w:rFonts w:ascii="Century Gothic" w:hAnsi="Century Gothic"/>
          <w:sz w:val="20"/>
          <w:szCs w:val="20"/>
        </w:rPr>
        <w:t>2 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Συνθήκη της Χάγης της 5.10.1961, που κυρώθηκε με το ν. 1497/1984 (Α' 188)57.</w:t>
      </w:r>
    </w:p>
    <w:p>
      <w:pPr>
        <w:pStyle w:val="Normal"/>
        <w:spacing w:lineRule="auto" w:line="360" w:before="0" w:after="0"/>
        <w:jc w:val="both"/>
        <w:rPr>
          <w:rFonts w:ascii="Century Gothic" w:hAnsi="Century Gothic"/>
          <w:sz w:val="20"/>
          <w:szCs w:val="20"/>
        </w:rPr>
      </w:pPr>
      <w:r>
        <w:rPr>
          <w:rFonts w:ascii="Century Gothic" w:hAnsi="Century Gothic"/>
          <w:sz w:val="20"/>
          <w:szCs w:val="20"/>
        </w:rPr>
        <w:t>Ειδικότερα, όλα τα δημόσια έγγραφα που αφορούν αλλοδαπούς οικονομικούς φορείς και που θα κατατεθούν από τους προσφέροντες στην παρούσα διαδικασία, θα είναι νόμιμα επικυρωμένα</w:t>
      </w:r>
      <w:r>
        <w:rPr>
          <w:rStyle w:val="Style15"/>
          <w:rFonts w:ascii="Century Gothic" w:hAnsi="Century Gothic"/>
          <w:sz w:val="20"/>
          <w:szCs w:val="20"/>
        </w:rPr>
        <w:footnoteReference w:id="5"/>
      </w:r>
      <w:r>
        <w:rPr>
          <w:rFonts w:ascii="Century Gothic" w:hAnsi="Century Gothic"/>
          <w:sz w:val="20"/>
          <w:szCs w:val="20"/>
        </w:rPr>
        <w:t>, και η μετάφραση των εν λόγω εγγράφων μπορεί να γίνει είτε από τη μεταφραστική υπηρεσία του ΥΠ.ΕΞ.</w:t>
      </w:r>
      <w:r>
        <w:rPr>
          <w:rStyle w:val="Style15"/>
          <w:rFonts w:ascii="Century Gothic" w:hAnsi="Century Gothic"/>
          <w:sz w:val="20"/>
          <w:szCs w:val="20"/>
        </w:rPr>
        <w:footnoteReference w:id="6"/>
      </w:r>
      <w:r>
        <w:rPr>
          <w:rFonts w:ascii="Century Gothic" w:hAnsi="Century Gothic"/>
          <w:sz w:val="20"/>
          <w:szCs w:val="20"/>
        </w:rPr>
        <w:t>, είτε από το αρμόδιο προξενείο, είτε από δικηγόρο κατά την έννοια των άρθρων 454 του Κ.Πολ.Δ. και 36 του Κώδικα περί Δικηγόρων, είτε από ορκωτό μεταφραστή της χώρας προέλευσης, αν υφίσταται στη χώρα αυτή τέτοια υπηρεσία.</w:t>
      </w:r>
    </w:p>
    <w:p>
      <w:pPr>
        <w:pStyle w:val="Normal"/>
        <w:spacing w:lineRule="auto" w:line="360" w:before="0" w:after="0"/>
        <w:jc w:val="both"/>
        <w:rPr>
          <w:rFonts w:ascii="Century Gothic" w:hAnsi="Century Gothic"/>
          <w:sz w:val="20"/>
          <w:szCs w:val="20"/>
        </w:rPr>
      </w:pPr>
      <w:r>
        <w:rPr>
          <w:rFonts w:ascii="Century Gothic" w:hAnsi="Century Gothic"/>
          <w:sz w:val="20"/>
          <w:szCs w:val="20"/>
        </w:rPr>
        <w:t>3 Επιτρέπεται αντίστοιχα η κατάθεση οιουδήποτε δημόσιου εγγράφου και δικαιολογητικού που αφορά αλλοδαπή Επιχείρηση με τη μορφή επικυρωμένης φωτοτυπίας προερχόμενης είτε από το νόμιμο επικυρωμένο έγγραφο από το αρμόδιο Προξενείο της χώρας του προσφέροντος, είτε από το πρωτότυπο έγγραφο με την σφραγίδα ‘’Apostile” σύμφωνα με την συνθήκη της Χάγης της 05-10-61. Η επικύρωση αυτή πρέπει να έχει γίνει από δικηγόρο κατά την έννοια των άρθρων 454 του Κ.Π.Δ. και 36 του Κώδικα περί Δικηγόρων.</w:t>
      </w:r>
    </w:p>
    <w:p>
      <w:pPr>
        <w:pStyle w:val="Normal"/>
        <w:spacing w:lineRule="auto" w:line="360" w:before="0" w:after="0"/>
        <w:jc w:val="both"/>
        <w:rPr>
          <w:rFonts w:ascii="Century Gothic" w:hAnsi="Century Gothic"/>
          <w:sz w:val="20"/>
          <w:szCs w:val="20"/>
        </w:rPr>
      </w:pPr>
      <w:r>
        <w:rPr>
          <w:rFonts w:ascii="Century Gothic" w:hAnsi="Century Gothic"/>
          <w:sz w:val="20"/>
          <w:szCs w:val="20"/>
        </w:rPr>
        <w:t>4 Ενημερωτικά και τεχνικά φυλλάδια και άλλα έντυπα-εταιρικά ή μη – με ειδικό τεχνικό περιεχόμενο μπορούν να υποβάλλονται σε άλλη γλώσσα, χωρίς να συνοδεύονται από μετάφραση στην ελληνική.</w:t>
      </w:r>
    </w:p>
    <w:p>
      <w:pPr>
        <w:pStyle w:val="Normal"/>
        <w:spacing w:lineRule="auto" w:line="360" w:before="0" w:after="0"/>
        <w:jc w:val="both"/>
        <w:rPr>
          <w:rFonts w:ascii="Century Gothic" w:hAnsi="Century Gothic"/>
          <w:sz w:val="20"/>
          <w:szCs w:val="20"/>
        </w:rPr>
      </w:pPr>
      <w:r>
        <w:rPr>
          <w:rFonts w:ascii="Century Gothic" w:hAnsi="Century Gothic"/>
          <w:sz w:val="20"/>
          <w:szCs w:val="20"/>
        </w:rPr>
        <w:t>5 Η προφορική επικοινωνία με την αναθέτουσα αρχή, καθώς και μεταξύ αυτής και του αναδόχου, θα γίνονται υποχρεωτικά στην ελληνική γλώσσα. Ο ανάδοχος είναι υποχρεωμένος να διευκολύνει την επικοινωνία των αλλοδαπών υπαλλήλων του με την αναθέτουσα αρχή, με τον ορισμό και την παρουσία διερμηνέων.</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21: Εφαρμοστέα νομοθεσία</w:t>
      </w:r>
    </w:p>
    <w:p>
      <w:pPr>
        <w:pStyle w:val="Normal"/>
        <w:spacing w:lineRule="auto" w:line="360" w:before="0" w:after="0"/>
        <w:jc w:val="both"/>
        <w:rPr>
          <w:rFonts w:ascii="Century Gothic" w:hAnsi="Century Gothic"/>
          <w:sz w:val="20"/>
          <w:szCs w:val="20"/>
        </w:rPr>
      </w:pPr>
      <w:r>
        <w:rPr>
          <w:rFonts w:ascii="Century Gothic" w:hAnsi="Century Gothic"/>
          <w:sz w:val="20"/>
          <w:szCs w:val="20"/>
        </w:rPr>
        <w:t>Για τη δημοπράτηση και την εκτέλεση της σύμβασης εφαρμόζονται οι διατάξεις των παρακάτω νομοθετημάτων:</w:t>
      </w:r>
    </w:p>
    <w:p>
      <w:pPr>
        <w:pStyle w:val="Normal"/>
        <w:spacing w:lineRule="auto" w:line="360" w:before="0" w:after="0"/>
        <w:jc w:val="both"/>
        <w:rPr>
          <w:rFonts w:ascii="Century Gothic" w:hAnsi="Century Gothic"/>
          <w:sz w:val="20"/>
          <w:szCs w:val="20"/>
        </w:rPr>
      </w:pPr>
      <w:r>
        <w:rPr>
          <w:rFonts w:ascii="Century Gothic" w:hAnsi="Century Gothic"/>
          <w:sz w:val="20"/>
          <w:szCs w:val="20"/>
        </w:rPr>
        <w:t>- του Ν. 4412/2016 «Δημόσιες Συμβάσεις Έργων, Προμηθειών και Υπηρεσιών (προσαρμογή στις Οδηγίες 201/24/Ε και 2014/25/ΕΕ)» (Α’ 147),</w:t>
      </w:r>
    </w:p>
    <w:p>
      <w:pPr>
        <w:pStyle w:val="Normal"/>
        <w:spacing w:lineRule="auto" w:line="360" w:before="0" w:after="0"/>
        <w:jc w:val="both"/>
        <w:rPr>
          <w:rFonts w:ascii="Century Gothic" w:hAnsi="Century Gothic"/>
          <w:sz w:val="20"/>
          <w:szCs w:val="20"/>
        </w:rPr>
      </w:pPr>
      <w:r>
        <w:rPr>
          <w:rFonts w:ascii="Century Gothic" w:hAnsi="Century Gothic"/>
          <w:sz w:val="20"/>
          <w:szCs w:val="20"/>
        </w:rPr>
        <w:t>- του Ν.3852/2010 «Νέα Αρχιτεκτονική της Αυτοδιοίκησης και της Αποκεντρωμένης Διοίκησης - Πρόγραμμα Καλλικράτης» (ΦΕΚ 87/07.06.2010 τεύχος Α')</w:t>
      </w:r>
    </w:p>
    <w:p>
      <w:pPr>
        <w:pStyle w:val="Normal"/>
        <w:spacing w:lineRule="auto" w:line="360" w:before="0" w:after="0"/>
        <w:jc w:val="both"/>
        <w:rPr>
          <w:rFonts w:ascii="Century Gothic" w:hAnsi="Century Gothic"/>
          <w:sz w:val="20"/>
          <w:szCs w:val="20"/>
        </w:rPr>
      </w:pPr>
      <w:r>
        <w:rPr>
          <w:rFonts w:ascii="Century Gothic" w:hAnsi="Century Gothic"/>
          <w:sz w:val="20"/>
          <w:szCs w:val="20"/>
        </w:rPr>
        <w:t>- του Ν.3463/2006 «Κύρωση του Κώδικα Δήμων και Κοινοτήτων» (ΦΕΚ 114/8.6.2006 τεύχος Α')</w:t>
      </w:r>
    </w:p>
    <w:p>
      <w:pPr>
        <w:pStyle w:val="Normal"/>
        <w:spacing w:lineRule="auto" w:line="360" w:before="0" w:after="0"/>
        <w:jc w:val="both"/>
        <w:rPr>
          <w:rFonts w:ascii="Century Gothic" w:hAnsi="Century Gothic"/>
          <w:sz w:val="20"/>
          <w:szCs w:val="20"/>
        </w:rPr>
      </w:pPr>
      <w:r>
        <w:rPr>
          <w:rFonts w:ascii="Century Gothic" w:hAnsi="Century Gothic"/>
          <w:sz w:val="20"/>
          <w:szCs w:val="20"/>
        </w:rPr>
        <w:t>- του Ν.4250/2014 «Διοικητικές Απλουστεύσεις - Καταργήσεις, Συγχωνεύσεις Νομικών Προσώπων και Υπηρεσιών του Δημοσίου Τομέα-Τροποποίηση Διατάξεων του π.δ. 318/1992 (Α΄161) και λοιπές ρυθμίσεις» (Α’ 74 ) και ειδικότερα το άρθρο 1 αυτού,</w:t>
      </w:r>
    </w:p>
    <w:p>
      <w:pPr>
        <w:pStyle w:val="Normal"/>
        <w:spacing w:lineRule="auto" w:line="360" w:before="0" w:after="0"/>
        <w:jc w:val="both"/>
        <w:rPr>
          <w:rFonts w:ascii="Century Gothic" w:hAnsi="Century Gothic"/>
          <w:sz w:val="20"/>
          <w:szCs w:val="20"/>
        </w:rPr>
      </w:pPr>
      <w:r>
        <w:rPr>
          <w:rFonts w:ascii="Century Gothic" w:hAnsi="Century Gothic"/>
          <w:sz w:val="20"/>
          <w:szCs w:val="20"/>
        </w:rPr>
        <w:t>- του ν. 4129/2013 (Α’ 52) «Κύρωση του Κώδικα Νόμων για το Ελεγκτικό Συνέδριο».</w:t>
      </w:r>
    </w:p>
    <w:p>
      <w:pPr>
        <w:pStyle w:val="Normal"/>
        <w:spacing w:lineRule="auto" w:line="360" w:before="0" w:after="0"/>
        <w:jc w:val="both"/>
        <w:rPr>
          <w:rFonts w:ascii="Century Gothic" w:hAnsi="Century Gothic"/>
          <w:sz w:val="20"/>
          <w:szCs w:val="20"/>
        </w:rPr>
      </w:pPr>
      <w:r>
        <w:rPr>
          <w:rFonts w:ascii="Century Gothic" w:hAnsi="Century Gothic"/>
          <w:sz w:val="20"/>
          <w:szCs w:val="20"/>
        </w:rPr>
        <w:t>- του ν. 4013/2011 (Α’ 204) «Σύσταση ενιαίας Ανεξάρτητης Αρχής Δημοσίων Συμβάσεων και Κεντρικού Ηλεκτρονικού Μητρώου Δημοσίων Συμβάσεων…» .</w:t>
      </w:r>
    </w:p>
    <w:p>
      <w:pPr>
        <w:pStyle w:val="Normal"/>
        <w:spacing w:lineRule="auto" w:line="360" w:before="0" w:after="0"/>
        <w:jc w:val="both"/>
        <w:rPr>
          <w:rFonts w:ascii="Century Gothic" w:hAnsi="Century Gothic"/>
          <w:sz w:val="20"/>
          <w:szCs w:val="20"/>
        </w:rPr>
      </w:pPr>
      <w:r>
        <w:rPr>
          <w:rFonts w:ascii="Century Gothic" w:hAnsi="Century Gothic"/>
          <w:sz w:val="20"/>
          <w:szCs w:val="20"/>
        </w:rPr>
        <w:t>- του ν. 3861/2010 (Α’ 112)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t>
      </w:r>
    </w:p>
    <w:p>
      <w:pPr>
        <w:pStyle w:val="Normal"/>
        <w:spacing w:lineRule="auto" w:line="360" w:before="0" w:after="0"/>
        <w:jc w:val="both"/>
        <w:rPr>
          <w:rFonts w:ascii="Century Gothic" w:hAnsi="Century Gothic"/>
          <w:sz w:val="20"/>
          <w:szCs w:val="20"/>
        </w:rPr>
      </w:pPr>
      <w:r>
        <w:rPr>
          <w:rFonts w:ascii="Century Gothic" w:hAnsi="Century Gothic"/>
          <w:sz w:val="20"/>
          <w:szCs w:val="20"/>
        </w:rPr>
        <w:t>- οι σε εκτέλεση των ανωτέρω διατάξεων εκδοθείσες κανονιστικές πράξεις , καθώς και λοιπές διατάξεις που αναφέρονται ρητά ή απορρέουν από τα οριζόμενα στα συμβατικά τεύχη της παρούσας καθώς και το σύνολο των διατάξεων του ασφαλιστικού, εργατικού, περιβαλλοντικού και φορολογικού δικαίου και γενικότερα κάθε διάταξη (Νόμος, Π.Δ., Υ.Α.) και ερμηνευτική εγκύκλιος που διέπει την ανάθεση και εκτέλεση του έργου της παρούσας σύμβασης, έστω και αν δεν αναφέρονται ρητά. Νόμοι, ΠΔ και υπουργικές αποφάσεις που εκδίδονται μετά την έναρξη της διαδικασίας σύναψης της σύμβασης σύμφωνα με το άρθρο 120 του Ν.4412/2016, δεν αποτελούν μέρος του εφαρμοστέου θεσμικού πλαισίου της</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22: Δημοσιότητα - Δαπάνες δημοσίευσης</w:t>
      </w:r>
    </w:p>
    <w:p>
      <w:pPr>
        <w:pStyle w:val="Normal"/>
        <w:spacing w:lineRule="auto" w:line="360" w:before="0" w:after="0"/>
        <w:jc w:val="both"/>
        <w:rPr>
          <w:rFonts w:ascii="Century Gothic" w:hAnsi="Century Gothic"/>
          <w:sz w:val="20"/>
          <w:szCs w:val="20"/>
        </w:rPr>
      </w:pPr>
      <w:r>
        <w:rPr>
          <w:rFonts w:ascii="Century Gothic" w:hAnsi="Century Gothic"/>
          <w:sz w:val="20"/>
          <w:szCs w:val="20"/>
        </w:rPr>
        <w:t>Το πλήρες κείμενο της Διακήρυξης δημοσιεύεται στο ΚΗΜΔΗΣ και φέρει κωδικό ΑΔΑΜ.</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Προκήρυξη αυτής (περίληψη της Διακήρυξης) τοιχοκολλείται στον πίνακα ανακοινώσεων του Δήμου, αναρτάται στο πρόγραμμα «ΔΙΑΥΓΕΙΑ» και στην ιστοσελίδα του Δήμου(www. </w:t>
      </w:r>
      <w:r>
        <w:rPr>
          <w:rFonts w:ascii="Century Gothic" w:hAnsi="Century Gothic"/>
          <w:sz w:val="20"/>
          <w:szCs w:val="20"/>
          <w:lang w:val="en-US"/>
        </w:rPr>
        <w:t>livadia</w:t>
      </w:r>
      <w:r>
        <w:rPr>
          <w:rFonts w:ascii="Century Gothic" w:hAnsi="Century Gothic"/>
          <w:sz w:val="20"/>
          <w:szCs w:val="20"/>
        </w:rPr>
        <w:t>.gr).</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23: Σειρά ισχύος εγγράφων της σύμβασης</w:t>
      </w:r>
    </w:p>
    <w:p>
      <w:pPr>
        <w:pStyle w:val="Normal"/>
        <w:spacing w:lineRule="auto" w:line="360" w:before="0" w:after="0"/>
        <w:jc w:val="both"/>
        <w:rPr>
          <w:rFonts w:ascii="Century Gothic" w:hAnsi="Century Gothic"/>
          <w:sz w:val="20"/>
          <w:szCs w:val="20"/>
        </w:rPr>
      </w:pPr>
      <w:r>
        <w:rPr>
          <w:rFonts w:ascii="Century Gothic" w:hAnsi="Century Gothic"/>
          <w:sz w:val="20"/>
          <w:szCs w:val="20"/>
        </w:rPr>
        <w:t xml:space="preserve">Τα  έγγραφα της σύμβασης  με βάση τα οποία θα εκτελεσθεί η προμήθεια/υπηρεσία είναι τα αναφερόμενα παρακάτω. Σε περίπτωση ασυμφωνίας των περιεχομένων σε αυτά όρων, η σειρά ισχύος καθορίζεται  ως κατωτέρω. </w:t>
      </w:r>
    </w:p>
    <w:p>
      <w:pPr>
        <w:pStyle w:val="Normal"/>
        <w:spacing w:lineRule="auto" w:line="360" w:before="0" w:after="0"/>
        <w:jc w:val="both"/>
        <w:rPr>
          <w:rFonts w:ascii="Century Gothic" w:hAnsi="Century Gothic"/>
          <w:sz w:val="20"/>
          <w:szCs w:val="20"/>
        </w:rPr>
      </w:pPr>
      <w:r>
        <w:rPr>
          <w:rFonts w:ascii="Century Gothic" w:hAnsi="Century Gothic"/>
          <w:sz w:val="20"/>
          <w:szCs w:val="20"/>
        </w:rPr>
        <w:t>1. Το συμφωνητικό</w:t>
      </w:r>
    </w:p>
    <w:p>
      <w:pPr>
        <w:pStyle w:val="Normal"/>
        <w:spacing w:lineRule="auto" w:line="360" w:before="0" w:after="0"/>
        <w:jc w:val="both"/>
        <w:rPr>
          <w:rFonts w:ascii="Century Gothic" w:hAnsi="Century Gothic"/>
          <w:sz w:val="20"/>
          <w:szCs w:val="20"/>
        </w:rPr>
      </w:pPr>
      <w:r>
        <w:rPr>
          <w:rFonts w:ascii="Century Gothic" w:hAnsi="Century Gothic"/>
          <w:sz w:val="20"/>
          <w:szCs w:val="20"/>
        </w:rPr>
        <w:t>2. Η παρούσα διακήρυξη</w:t>
      </w:r>
    </w:p>
    <w:p>
      <w:pPr>
        <w:pStyle w:val="Normal"/>
        <w:spacing w:lineRule="auto" w:line="360" w:before="0" w:after="0"/>
        <w:jc w:val="both"/>
        <w:rPr>
          <w:rFonts w:ascii="Century Gothic" w:hAnsi="Century Gothic"/>
          <w:sz w:val="20"/>
          <w:szCs w:val="20"/>
        </w:rPr>
      </w:pPr>
      <w:r>
        <w:rPr>
          <w:rFonts w:ascii="Century Gothic" w:hAnsi="Century Gothic"/>
          <w:sz w:val="20"/>
          <w:szCs w:val="20"/>
        </w:rPr>
        <w:t>3. Τεχνικές προδιαγραφές</w:t>
      </w:r>
    </w:p>
    <w:p>
      <w:pPr>
        <w:pStyle w:val="Normal"/>
        <w:spacing w:lineRule="auto" w:line="360" w:before="0" w:after="0"/>
        <w:jc w:val="both"/>
        <w:rPr>
          <w:rFonts w:ascii="Century Gothic" w:hAnsi="Century Gothic"/>
          <w:sz w:val="20"/>
          <w:szCs w:val="20"/>
        </w:rPr>
      </w:pPr>
      <w:r>
        <w:rPr>
          <w:rFonts w:ascii="Century Gothic" w:hAnsi="Century Gothic"/>
          <w:sz w:val="20"/>
          <w:szCs w:val="20"/>
        </w:rPr>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24: Παροχή διευκρινίσεων για τη διαδικασία σύναψης σύμβασης</w:t>
      </w:r>
    </w:p>
    <w:p>
      <w:pPr>
        <w:pStyle w:val="Normal"/>
        <w:spacing w:lineRule="auto" w:line="360" w:before="0" w:after="0"/>
        <w:jc w:val="both"/>
        <w:rPr/>
      </w:pPr>
      <w:r>
        <w:rPr>
          <w:rFonts w:ascii="Century Gothic" w:hAnsi="Century Gothic"/>
          <w:sz w:val="20"/>
          <w:szCs w:val="20"/>
        </w:rPr>
        <w:t xml:space="preserve">Εφόσον έχουν ζητηθεί εγκαίρως, οι αναθέτουσες αρχές παρέχουν σε όλους τους προσφέροντες που συμμετέχουν στη διαδικασία σύναψης σύμβασης συμπληρωματικές πληροφορίες σχετικά με τις προδιαγραφές και οποιαδήποτε σχετικά δικαιολογητικά, το αργότερο στις </w:t>
      </w:r>
      <w:r>
        <w:rPr>
          <w:rFonts w:ascii="Century Gothic" w:hAnsi="Century Gothic"/>
          <w:b w:val="false"/>
          <w:bCs w:val="false"/>
          <w:color w:val="00000A"/>
          <w:sz w:val="20"/>
          <w:szCs w:val="20"/>
        </w:rPr>
        <w:t>02/12/2016</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25: Τεκμήριο από τη συμμετοχή στη διαδικασία σύναψης σύμβασης</w:t>
      </w:r>
    </w:p>
    <w:p>
      <w:pPr>
        <w:pStyle w:val="Normal"/>
        <w:spacing w:lineRule="auto" w:line="360" w:before="0" w:after="0"/>
        <w:jc w:val="both"/>
        <w:rPr>
          <w:rFonts w:ascii="Century Gothic" w:hAnsi="Century Gothic"/>
          <w:sz w:val="20"/>
          <w:szCs w:val="20"/>
        </w:rPr>
      </w:pPr>
      <w:r>
        <w:rPr>
          <w:rFonts w:ascii="Century Gothic" w:hAnsi="Century Gothic"/>
          <w:sz w:val="20"/>
          <w:szCs w:val="20"/>
        </w:rPr>
        <w:t>Η υποβολή προσφοράς στον διαγωνισμό αποτελεί τεκμήριο ότι ο διαγωνιζόμενος έχει λάβει πλήρη γνώση αυτής της διακήρυξης και των λοιπών εγγράφων της σύμβασης και γνωρίζει πλήρως τις συνθήκες εκτέλεσης της προμήθειας/υπηρεσίας.</w:t>
      </w:r>
    </w:p>
    <w:p>
      <w:pPr>
        <w:pStyle w:val="Normal"/>
        <w:spacing w:lineRule="auto" w:line="360" w:before="0" w:after="0"/>
        <w:jc w:val="both"/>
        <w:rPr>
          <w:rFonts w:ascii="Century Gothic" w:hAnsi="Century Gothic"/>
          <w:sz w:val="20"/>
          <w:szCs w:val="20"/>
        </w:rPr>
      </w:pPr>
      <w:r>
        <w:rPr>
          <w:rFonts w:ascii="Century Gothic" w:hAnsi="Century Gothic"/>
          <w:b/>
          <w:sz w:val="20"/>
          <w:szCs w:val="20"/>
        </w:rPr>
        <w:t>Άρθρο 26: Χρόνος, τόπος και διάρκεια εκτέλεσης της προμήθειας</w:t>
      </w:r>
    </w:p>
    <w:p>
      <w:pPr>
        <w:pStyle w:val="Normal"/>
        <w:spacing w:lineRule="auto" w:line="360" w:before="0" w:after="0"/>
        <w:jc w:val="both"/>
        <w:rPr/>
      </w:pPr>
      <w:r>
        <w:rPr>
          <w:rFonts w:ascii="Century Gothic" w:hAnsi="Century Gothic"/>
          <w:sz w:val="20"/>
          <w:szCs w:val="20"/>
        </w:rPr>
        <w:t xml:space="preserve">Η εκτέλεση της υπηρεσίας πρέπει να ολοκληρωθεί μέχρι την 31/12/2016 στις Δ.Ε Ενότητες του Δήμου Λεβαδεών όπως αναλυτικά αναφέρονται στις υπ αριθμ  177/2016 τεχνικές προδιαγραφές  της Δ/νσης Κοινωνικής Προστασίας , Παιδείας και </w:t>
      </w:r>
      <w:r>
        <w:rPr>
          <w:rFonts w:ascii="Century Gothic" w:hAnsi="Century Gothic"/>
          <w:sz w:val="20"/>
          <w:szCs w:val="20"/>
          <w:lang w:val="el-GR"/>
        </w:rPr>
        <w:t>Πολιτισμού</w:t>
      </w:r>
      <w:r>
        <w:rPr>
          <w:rFonts w:ascii="Century Gothic" w:hAnsi="Century Gothic"/>
          <w:sz w:val="20"/>
          <w:szCs w:val="20"/>
        </w:rPr>
        <w:t xml:space="preserve"> </w:t>
      </w:r>
    </w:p>
    <w:p>
      <w:pPr>
        <w:pStyle w:val="Normal"/>
        <w:spacing w:lineRule="auto" w:line="360" w:before="0" w:after="0"/>
        <w:jc w:val="both"/>
        <w:rPr>
          <w:rFonts w:ascii="Century Gothic" w:hAnsi="Century Gothic"/>
          <w:sz w:val="20"/>
          <w:szCs w:val="20"/>
        </w:rPr>
      </w:pPr>
      <w:r>
        <w:rPr>
          <w:rFonts w:ascii="Century Gothic" w:hAnsi="Century Gothic"/>
          <w:sz w:val="20"/>
          <w:szCs w:val="20"/>
        </w:rPr>
      </w:r>
    </w:p>
    <w:p>
      <w:pPr>
        <w:pStyle w:val="Normal"/>
        <w:spacing w:lineRule="auto" w:line="360" w:before="0" w:after="0"/>
        <w:jc w:val="center"/>
        <w:rPr/>
      </w:pPr>
      <w:r>
        <w:rPr>
          <w:rFonts w:ascii="Century Gothic" w:hAnsi="Century Gothic"/>
          <w:b/>
          <w:sz w:val="20"/>
          <w:szCs w:val="20"/>
        </w:rPr>
        <w:t>Η ΔΗΜΑΡΧΟΣ</w:t>
      </w:r>
    </w:p>
    <w:p>
      <w:pPr>
        <w:pStyle w:val="Normal"/>
        <w:spacing w:lineRule="auto" w:line="360" w:before="0" w:after="0"/>
        <w:jc w:val="right"/>
        <w:rPr>
          <w:rFonts w:ascii="Century Gothic" w:hAnsi="Century Gothic"/>
          <w:sz w:val="20"/>
          <w:szCs w:val="20"/>
        </w:rPr>
      </w:pPr>
      <w:r>
        <w:rPr>
          <w:rFonts w:ascii="Century Gothic" w:hAnsi="Century Gothic"/>
          <w:sz w:val="20"/>
          <w:szCs w:val="20"/>
        </w:rPr>
      </w:r>
    </w:p>
    <w:p>
      <w:pPr>
        <w:pStyle w:val="Normal"/>
        <w:spacing w:lineRule="auto" w:line="360" w:before="0" w:after="0"/>
        <w:jc w:val="center"/>
        <w:rPr/>
      </w:pPr>
      <w:r>
        <w:rPr>
          <w:rFonts w:ascii="Century Gothic" w:hAnsi="Century Gothic"/>
          <w:b/>
          <w:bCs/>
          <w:sz w:val="20"/>
          <w:szCs w:val="20"/>
        </w:rPr>
        <w:t>ΓΙΩΤΑ ΠΟΥΛΟΥ</w:t>
      </w:r>
    </w:p>
    <w:p>
      <w:pPr>
        <w:pStyle w:val="Normal"/>
        <w:spacing w:lineRule="auto" w:line="360" w:before="0" w:after="0"/>
        <w:jc w:val="center"/>
        <w:rPr>
          <w:rFonts w:ascii="Century Gothic" w:hAnsi="Century Gothic"/>
          <w:b/>
          <w:b/>
          <w:bCs/>
          <w:sz w:val="20"/>
          <w:szCs w:val="20"/>
        </w:rPr>
      </w:pPr>
      <w:r>
        <w:rPr>
          <w:rFonts w:ascii="Century Gothic" w:hAnsi="Century Gothic"/>
          <w:b/>
          <w:bCs/>
          <w:sz w:val="20"/>
          <w:szCs w:val="20"/>
        </w:rPr>
      </w:r>
    </w:p>
    <w:p>
      <w:pPr>
        <w:pStyle w:val="Normal"/>
        <w:spacing w:lineRule="auto" w:line="360" w:before="0" w:after="0"/>
        <w:jc w:val="center"/>
        <w:rPr>
          <w:rFonts w:ascii="Century Gothic" w:hAnsi="Century Gothic"/>
          <w:b/>
          <w:b/>
          <w:bCs/>
          <w:sz w:val="20"/>
          <w:szCs w:val="20"/>
        </w:rPr>
      </w:pPr>
      <w:r>
        <w:rPr>
          <w:rFonts w:ascii="Century Gothic" w:hAnsi="Century Gothic"/>
          <w:b/>
          <w:bCs/>
          <w:sz w:val="20"/>
          <w:szCs w:val="20"/>
        </w:rPr>
      </w:r>
    </w:p>
    <w:p>
      <w:pPr>
        <w:pStyle w:val="Normal"/>
        <w:spacing w:lineRule="auto" w:line="360" w:before="0" w:after="0"/>
        <w:jc w:val="center"/>
        <w:rPr>
          <w:rFonts w:ascii="Century Gothic" w:hAnsi="Century Gothic"/>
          <w:b/>
          <w:b/>
          <w:bCs/>
          <w:sz w:val="20"/>
          <w:szCs w:val="20"/>
        </w:rPr>
      </w:pPr>
      <w:r>
        <w:rPr>
          <w:rFonts w:ascii="Century Gothic" w:hAnsi="Century Gothic"/>
          <w:b/>
          <w:bCs/>
          <w:sz w:val="20"/>
          <w:szCs w:val="20"/>
        </w:rPr>
      </w:r>
    </w:p>
    <w:p>
      <w:pPr>
        <w:pStyle w:val="Normal"/>
        <w:spacing w:lineRule="auto" w:line="360" w:before="0" w:after="0"/>
        <w:jc w:val="center"/>
        <w:rPr>
          <w:rFonts w:ascii="Century Gothic" w:hAnsi="Century Gothic"/>
          <w:b/>
          <w:b/>
          <w:bCs/>
          <w:sz w:val="20"/>
          <w:szCs w:val="20"/>
        </w:rPr>
      </w:pPr>
      <w:r>
        <w:rPr>
          <w:rFonts w:ascii="Century Gothic" w:hAnsi="Century Gothic"/>
          <w:b/>
          <w:bCs/>
          <w:sz w:val="20"/>
          <w:szCs w:val="20"/>
        </w:rPr>
      </w:r>
    </w:p>
    <w:p>
      <w:pPr>
        <w:pStyle w:val="Normal"/>
        <w:spacing w:lineRule="auto" w:line="360" w:before="0" w:after="0"/>
        <w:jc w:val="center"/>
        <w:rPr>
          <w:rFonts w:ascii="Century Gothic" w:hAnsi="Century Gothic"/>
          <w:b/>
          <w:b/>
          <w:bCs/>
          <w:sz w:val="20"/>
          <w:szCs w:val="20"/>
        </w:rPr>
      </w:pPr>
      <w:r>
        <w:rPr>
          <w:rFonts w:ascii="Century Gothic" w:hAnsi="Century Gothic"/>
          <w:b/>
          <w:bCs/>
          <w:sz w:val="20"/>
          <w:szCs w:val="20"/>
        </w:rPr>
      </w:r>
    </w:p>
    <w:p>
      <w:pPr>
        <w:pStyle w:val="Normal"/>
        <w:spacing w:lineRule="auto" w:line="360" w:before="0" w:after="0"/>
        <w:jc w:val="center"/>
        <w:rPr>
          <w:rFonts w:ascii="Century Gothic" w:hAnsi="Century Gothic"/>
          <w:b/>
          <w:b/>
          <w:bCs/>
          <w:sz w:val="20"/>
          <w:szCs w:val="20"/>
        </w:rPr>
      </w:pPr>
      <w:r>
        <w:rPr>
          <w:rFonts w:ascii="Century Gothic" w:hAnsi="Century Gothic"/>
          <w:b/>
          <w:bCs/>
          <w:sz w:val="20"/>
          <w:szCs w:val="20"/>
        </w:rPr>
      </w:r>
    </w:p>
    <w:p>
      <w:pPr>
        <w:pStyle w:val="Normal"/>
        <w:spacing w:lineRule="auto" w:line="360" w:before="0" w:after="0"/>
        <w:jc w:val="center"/>
        <w:rPr>
          <w:rFonts w:ascii="Century Gothic" w:hAnsi="Century Gothic"/>
          <w:b/>
          <w:b/>
          <w:bCs/>
          <w:sz w:val="20"/>
          <w:szCs w:val="20"/>
        </w:rPr>
      </w:pPr>
      <w:r>
        <w:rPr>
          <w:rFonts w:ascii="Century Gothic" w:hAnsi="Century Gothic"/>
          <w:b/>
          <w:bCs/>
          <w:sz w:val="20"/>
          <w:szCs w:val="20"/>
        </w:rPr>
      </w:r>
    </w:p>
    <w:p>
      <w:pPr>
        <w:pStyle w:val="Normal"/>
        <w:spacing w:lineRule="auto" w:line="360" w:before="0" w:after="0"/>
        <w:jc w:val="center"/>
        <w:rPr>
          <w:rFonts w:ascii="Century Gothic" w:hAnsi="Century Gothic"/>
          <w:b/>
          <w:b/>
          <w:bCs/>
          <w:sz w:val="20"/>
          <w:szCs w:val="20"/>
        </w:rPr>
      </w:pPr>
      <w:r>
        <w:rPr>
          <w:rFonts w:ascii="Century Gothic" w:hAnsi="Century Gothic"/>
          <w:b/>
          <w:bCs/>
          <w:sz w:val="20"/>
          <w:szCs w:val="20"/>
        </w:rPr>
      </w:r>
    </w:p>
    <w:p>
      <w:pPr>
        <w:pStyle w:val="Normal"/>
        <w:spacing w:lineRule="auto" w:line="360" w:before="0" w:after="0"/>
        <w:jc w:val="center"/>
        <w:rPr>
          <w:rFonts w:ascii="Century Gothic" w:hAnsi="Century Gothic"/>
          <w:b/>
          <w:b/>
          <w:bCs/>
          <w:sz w:val="20"/>
          <w:szCs w:val="20"/>
        </w:rPr>
      </w:pPr>
      <w:r>
        <w:rPr>
          <w:rFonts w:ascii="Century Gothic" w:hAnsi="Century Gothic"/>
          <w:b/>
          <w:bCs/>
          <w:sz w:val="20"/>
          <w:szCs w:val="20"/>
        </w:rPr>
      </w:r>
    </w:p>
    <w:p>
      <w:pPr>
        <w:pStyle w:val="Normal"/>
        <w:spacing w:lineRule="auto" w:line="360" w:before="0" w:after="0"/>
        <w:jc w:val="center"/>
        <w:rPr>
          <w:rFonts w:ascii="Century Gothic" w:hAnsi="Century Gothic"/>
          <w:b/>
          <w:b/>
          <w:bCs/>
          <w:sz w:val="20"/>
          <w:szCs w:val="20"/>
        </w:rPr>
      </w:pPr>
      <w:r>
        <w:rPr>
          <w:rFonts w:ascii="Century Gothic" w:hAnsi="Century Gothic"/>
          <w:b/>
          <w:bCs/>
          <w:sz w:val="20"/>
          <w:szCs w:val="20"/>
        </w:rPr>
      </w:r>
    </w:p>
    <w:p>
      <w:pPr>
        <w:pStyle w:val="Normal"/>
        <w:spacing w:lineRule="auto" w:line="360" w:before="0" w:after="0"/>
        <w:jc w:val="center"/>
        <w:rPr>
          <w:rFonts w:ascii="Century Gothic" w:hAnsi="Century Gothic"/>
          <w:b/>
          <w:b/>
          <w:bCs/>
          <w:sz w:val="20"/>
          <w:szCs w:val="20"/>
        </w:rPr>
      </w:pPr>
      <w:r>
        <w:rPr>
          <w:rFonts w:ascii="Century Gothic" w:hAnsi="Century Gothic"/>
          <w:b/>
          <w:bCs/>
          <w:sz w:val="20"/>
          <w:szCs w:val="20"/>
        </w:rPr>
      </w:r>
    </w:p>
    <w:p>
      <w:pPr>
        <w:pStyle w:val="Normal"/>
        <w:spacing w:lineRule="auto" w:line="276" w:before="0" w:after="0"/>
        <w:jc w:val="both"/>
        <w:rPr>
          <w:rFonts w:ascii="Century Gothic" w:hAnsi="Century Gothic" w:cs="Verdana"/>
          <w:b/>
          <w:b/>
          <w:bCs/>
          <w:sz w:val="20"/>
          <w:szCs w:val="20"/>
        </w:rPr>
      </w:pPr>
      <w:r>
        <w:rPr/>
      </w:r>
    </w:p>
    <w:sectPr>
      <w:footnotePr>
        <w:numFmt w:val="decimal"/>
      </w:footnotePr>
      <w:type w:val="nextPage"/>
      <w:pgSz w:w="11906" w:h="16838"/>
      <w:pgMar w:left="850" w:right="850" w:header="0" w:top="850" w:footer="0" w:bottom="850"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Verdana">
    <w:charset w:val="a1"/>
    <w:family w:val="roman"/>
    <w:pitch w:val="variable"/>
  </w:font>
  <w:font w:name="Liberation Sans">
    <w:altName w:val="Arial"/>
    <w:charset w:val="a1"/>
    <w:family w:val="roman"/>
    <w:pitch w:val="variable"/>
  </w:font>
  <w:font w:name="Cambria">
    <w:charset w:val="a1"/>
    <w:family w:val="roman"/>
    <w:pitch w:val="variable"/>
  </w:font>
  <w:font w:name="Century Gothic">
    <w:charset w:val="a1"/>
    <w:family w:val="roman"/>
    <w:pitch w:val="variable"/>
  </w:font>
  <w:font w:name="Arial">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jc w:val="both"/>
        <w:rPr/>
      </w:pPr>
      <w:r>
        <w:rPr/>
        <w:footnoteRef/>
        <w:tab/>
      </w:r>
    </w:p>
  </w:footnote>
  <w:footnote w:id="3">
    <w:p>
      <w:pPr>
        <w:pStyle w:val="Footnotetext"/>
        <w:jc w:val="both"/>
        <w:rPr/>
      </w:pPr>
      <w:r>
        <w:rPr>
          <w:rStyle w:val="Footnotereference"/>
          <w:sz w:val="18"/>
          <w:szCs w:val="18"/>
        </w:rPr>
        <w:footnoteRef/>
        <w:tab/>
      </w:r>
      <w:r>
        <w:rPr>
          <w:sz w:val="18"/>
          <w:szCs w:val="18"/>
        </w:rPr>
        <w:t xml:space="preserve"> </w:t>
      </w:r>
      <w:r>
        <w:rPr>
          <w:sz w:val="18"/>
          <w:szCs w:val="18"/>
        </w:rPr>
        <w:t>Στοιχεία προσφέροντος οικονομικού φορέα (ιδίως επωνυμία, οδός, αριθμός, Τ.Κ., πόλη, τηλέφωνο, fax και e-mail) και σε περίπτωση ένωσης οικονομικών φορέων τα στοιχεία όλων των μελών αυτής.</w:t>
      </w:r>
    </w:p>
  </w:footnote>
  <w:footnote w:id="4">
    <w:p>
      <w:pPr>
        <w:pStyle w:val="Footnotetext"/>
        <w:jc w:val="both"/>
        <w:rPr/>
      </w:pPr>
      <w:r>
        <w:rPr>
          <w:rStyle w:val="Footnotereference"/>
        </w:rPr>
        <w:footnoteRef/>
        <w:tab/>
      </w:r>
      <w:r>
        <w:rPr/>
        <w:t xml:space="preserve"> </w:t>
      </w:r>
      <w:r>
        <w:rPr/>
        <w:t>Σχετικά με την κατάργηση της υποχρέωσης υποβολής πρωτοτύπων ή επικυρωμένων αντιγράφων εγγράφων σε διαγωνισμούς δημοσίων συμβάσεων διευκρινίζονται τα εξής:</w:t>
      </w:r>
    </w:p>
    <w:p>
      <w:pPr>
        <w:pStyle w:val="Footnotetext"/>
        <w:jc w:val="both"/>
        <w:rPr/>
      </w:pPr>
      <w:r>
        <w:rPr/>
        <w:tab/>
        <w:t>1. Απλά αντίγραφα δημοσίων εγγράφων</w:t>
      </w:r>
    </w:p>
    <w:p>
      <w:pPr>
        <w:pStyle w:val="Footnotetext"/>
        <w:jc w:val="both"/>
        <w:rPr/>
      </w:pPr>
      <w:r>
        <w:rPr/>
        <w:tab/>
        <w:t>Γίνονται υποχρεωτικά αποδεκτά ευκρινή φωτοαντίγραφα των πρωτοτύπων ή των ακριβών αντιγράφων των δημοσίων εγγράφων, που έχουν εκδοθεί από τις υπηρεσίες και τους φορείς της περίπτωσης α' της παρ. 2 του άρθρου 1 του νόμου 4250/2014. Σημειωτέον ότι η παραπάνω ρύθμιση δεν καταλαμβάνει τα συμβολαιογραφικά έγγραφα (λ.χ. πληρεξούσια, ένορκες βεβαιώσεις κ.ο.κ.), για τα οποία συνεχίζει να υφίσταται η υποχρέωση υποβολής κεκυρωμένων αντιγράφων.</w:t>
      </w:r>
    </w:p>
    <w:p>
      <w:pPr>
        <w:pStyle w:val="Footnotetext"/>
        <w:jc w:val="both"/>
        <w:rPr/>
      </w:pPr>
      <w:r>
        <w:rPr/>
        <w:tab/>
        <w:t>2. Απλά αντίγραφα αλλοδαπών δημοσίων εγγράφων</w:t>
      </w:r>
    </w:p>
    <w:p>
      <w:pPr>
        <w:pStyle w:val="Footnotetext"/>
        <w:jc w:val="both"/>
        <w:rPr/>
      </w:pPr>
      <w:r>
        <w:rPr/>
        <w:tab/>
        <w:t>Επίσης, γίνονται αποδεκτά ευκρινή φωτοαντίγραφα από αντίγραφα εγγράφων που έχουν εκδοθεί από αλλοδαπές αρχές, υπό την προϋπόθεση ότι αυτά είναι νομίμως επικυρωμένα από την αρμόδια αρχή της χώρας αυτής, και έχουν επικυρωθεί από δικηγόρο, σύμφωνα με τα οριζόμενα στο άρθρο 36 παρ. 2 β) του Κώδικα Δικηγόρων (Ν 4194/2013). Σημειώνεται ότι δεν θίγονται και εξακολουθούν να ισχύουν, οι απαιτήσεις υποβολής δημοσίων εγγράφων με συγκεκριμένη επισημείωση (APOSTILLE), οι οποίες απορρέουν από διεθνείς συμβάσεις της χώρας (Σύμβαση της Χάγης) ή άλλες διακρατικές συμφωνίες (βλ. και σημείο 6.2.)</w:t>
      </w:r>
    </w:p>
    <w:p>
      <w:pPr>
        <w:pStyle w:val="Footnotetext"/>
        <w:jc w:val="both"/>
        <w:rPr/>
      </w:pPr>
      <w:r>
        <w:rPr/>
        <w:tab/>
        <w:t>3. Απλά αντίγραφα ιδιωτικών εγγράφων</w:t>
      </w:r>
    </w:p>
    <w:p>
      <w:pPr>
        <w:pStyle w:val="Footnotetext"/>
        <w:jc w:val="both"/>
        <w:rPr/>
      </w:pPr>
      <w:r>
        <w:rPr/>
        <w:tab/>
        <w:t>Γίνονται υποχρεωτικά αποδεκτά ευκρινή φωτοαντίγραφα από αντίγραφα ιδιωτικών εγγράφων τα οποία έχουν επικυρωθεί από δικηγόρο, σύμφωνα με τα οριζόμενα στο άρθρο 36 παρ. 2 β) του Κώδικα Δικηγόρων (Ν 4194/2013), καθώς και ευκρινή φωτοαντίγραφα από τα πρωτότυπα όσων ιδιωτικών εγγράφων φέρουν θεώρηση από υπηρεσίες και φορείς της περίπτωσης α' της παρ. 2 του άρθρου 1 του νόμου 4250/2014.</w:t>
      </w:r>
    </w:p>
    <w:p>
      <w:pPr>
        <w:pStyle w:val="Footnotetext"/>
        <w:jc w:val="both"/>
        <w:rPr/>
      </w:pPr>
      <w:r>
        <w:rPr/>
        <w:tab/>
        <w:t>4. Πρωτότυπα έγγραφα και επικυρωμένα αντίγραφα</w:t>
      </w:r>
    </w:p>
    <w:p>
      <w:pPr>
        <w:pStyle w:val="Footnotetext"/>
        <w:jc w:val="both"/>
        <w:rPr/>
      </w:pPr>
      <w:r>
        <w:rPr/>
        <w:tab/>
        <w:t>Γίνονται υποχρεωτικά αποδεκτά και πρωτότυπα ή νομίμως επικυρωμένα αντίγραφα των δικαιολογητικών εγγράφων, εφόσον υποβληθούν από τους διαγωνιζόμενους.</w:t>
      </w:r>
    </w:p>
  </w:footnote>
  <w:footnote w:id="5">
    <w:p>
      <w:pPr>
        <w:pStyle w:val="Footnotetext"/>
        <w:rPr/>
      </w:pPr>
      <w:r>
        <w:rPr>
          <w:rStyle w:val="Footnotereference"/>
        </w:rPr>
        <w:footnoteRef/>
        <w:tab/>
      </w:r>
      <w:r>
        <w:rPr/>
        <w:t xml:space="preserve"> </w:t>
      </w:r>
      <w:r>
        <w:rPr>
          <w:sz w:val="18"/>
          <w:szCs w:val="18"/>
        </w:rPr>
        <w:t xml:space="preserve">Είτε από το αρμόδιο Προξενείο της χώρας του προσφέροντος, είτε με την επίθεση της σφραγίδας ‘’Apostile” σύμφωνα με την συνθήκη της Χάγης της 05-10-61 (που κυρώθηκε με το Ν. 1497/84), ώστε να πιστοποιείται η γνησιότητά τους. </w:t>
      </w:r>
      <w:r>
        <w:rPr/>
        <w:t xml:space="preserve"> </w:t>
      </w:r>
    </w:p>
  </w:footnote>
  <w:footnote w:id="6">
    <w:p>
      <w:pPr>
        <w:pStyle w:val="Footnotetext"/>
        <w:rPr/>
      </w:pPr>
      <w:r>
        <w:rPr>
          <w:rStyle w:val="Footnotereference"/>
        </w:rPr>
        <w:footnoteRef/>
        <w:tab/>
      </w:r>
      <w:r>
        <w:rPr/>
        <w:t xml:space="preserve"> </w:t>
      </w:r>
      <w:r>
        <w:rPr>
          <w:sz w:val="18"/>
          <w:szCs w:val="18"/>
        </w:rPr>
        <w:t xml:space="preserve">Πρβ. Άρθρο 2 Ν. 3712/2008 (Α’ 225). </w:t>
      </w:r>
      <w:r>
        <w:rPr/>
        <w:t xml:space="preserve"> </w:t>
      </w:r>
    </w:p>
  </w:footnote>
</w:footnotes>
</file>

<file path=word/settings.xml><?xml version="1.0" encoding="utf-8"?>
<w:settings xmlns:w="http://schemas.openxmlformats.org/wordprocessingml/2006/main">
  <w:zoom w:percent="100"/>
  <w:defaultTabStop w:val="720"/>
  <w:footnotePr>
    <w:numFmt w:val="decimal"/>
    <w:footnote w:id="0"/>
    <w:footnote w:id="1"/>
  </w:footnotePr>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l-GR"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3042d"/>
    <w:pPr>
      <w:widowControl/>
      <w:bidi w:val="0"/>
      <w:spacing w:lineRule="auto" w:line="240" w:before="0" w:after="0"/>
      <w:jc w:val="left"/>
    </w:pPr>
    <w:rPr>
      <w:rFonts w:ascii="Verdana" w:hAnsi="Verdana" w:eastAsia="SimSun" w:cs="Verdana"/>
      <w:color w:val="00000A"/>
      <w:sz w:val="20"/>
      <w:szCs w:val="20"/>
      <w:lang w:val="el-GR" w:eastAsia="zh-CN" w:bidi="ar-SA"/>
    </w:rPr>
  </w:style>
  <w:style w:type="character" w:styleId="DefaultParagraphFont" w:default="1">
    <w:name w:val="Default Paragraph Font"/>
    <w:uiPriority w:val="1"/>
    <w:semiHidden/>
    <w:unhideWhenUsed/>
    <w:qFormat/>
    <w:rPr/>
  </w:style>
  <w:style w:type="character" w:styleId="Char" w:customStyle="1">
    <w:name w:val="Κείμενο υποσημείωσης Char"/>
    <w:basedOn w:val="DefaultParagraphFont"/>
    <w:link w:val="a3"/>
    <w:uiPriority w:val="99"/>
    <w:semiHidden/>
    <w:qFormat/>
    <w:rsid w:val="00977cb2"/>
    <w:rPr>
      <w:rFonts w:ascii="Verdana" w:hAnsi="Verdana" w:eastAsia="SimSun" w:cs="Verdana"/>
      <w:sz w:val="20"/>
      <w:szCs w:val="20"/>
      <w:lang w:eastAsia="zh-CN"/>
    </w:rPr>
  </w:style>
  <w:style w:type="character" w:styleId="Footnotereference">
    <w:name w:val="footnote reference"/>
    <w:basedOn w:val="DefaultParagraphFont"/>
    <w:uiPriority w:val="99"/>
    <w:semiHidden/>
    <w:unhideWhenUsed/>
    <w:qFormat/>
    <w:rsid w:val="00977cb2"/>
    <w:rPr>
      <w:vertAlign w:val="superscript"/>
    </w:rPr>
  </w:style>
  <w:style w:type="character" w:styleId="Style14">
    <w:name w:val="Χαρακτήρες υποσημείωσης"/>
    <w:qFormat/>
    <w:rPr/>
  </w:style>
  <w:style w:type="character" w:styleId="Style15">
    <w:name w:val="Αγκίστρωση υποσημείωσης"/>
    <w:rPr>
      <w:vertAlign w:val="superscript"/>
    </w:rPr>
  </w:style>
  <w:style w:type="character" w:styleId="Style16">
    <w:name w:val="Αγκίστρωση σημειώσεων τέλους"/>
    <w:rPr>
      <w:vertAlign w:val="superscript"/>
    </w:rPr>
  </w:style>
  <w:style w:type="character" w:styleId="Style17">
    <w:name w:val="Χαρακτήρες σημείωσης τέλους"/>
    <w:qFormat/>
    <w:rPr/>
  </w:style>
  <w:style w:type="paragraph" w:styleId="Style18">
    <w:name w:val="Επικεφαλίδα"/>
    <w:basedOn w:val="Normal"/>
    <w:next w:val="Style19"/>
    <w:qFormat/>
    <w:pPr>
      <w:keepNext/>
      <w:spacing w:before="240" w:after="120"/>
    </w:pPr>
    <w:rPr>
      <w:rFonts w:ascii="Liberation Sans" w:hAnsi="Liberation Sans" w:eastAsia="Arial Unicode MS" w:cs="Mangal"/>
      <w:sz w:val="28"/>
      <w:szCs w:val="28"/>
    </w:rPr>
  </w:style>
  <w:style w:type="paragraph" w:styleId="Style19">
    <w:name w:val="Σώμα κειμένου"/>
    <w:basedOn w:val="Normal"/>
    <w:pPr>
      <w:spacing w:lineRule="auto" w:line="288" w:before="0" w:after="140"/>
    </w:pPr>
    <w:rPr/>
  </w:style>
  <w:style w:type="paragraph" w:styleId="Style20">
    <w:name w:val="Λίστα"/>
    <w:basedOn w:val="Style19"/>
    <w:pPr/>
    <w:rPr>
      <w:rFonts w:cs="Mangal"/>
    </w:rPr>
  </w:style>
  <w:style w:type="paragraph" w:styleId="Style21">
    <w:name w:val="Υπόμνημα"/>
    <w:basedOn w:val="Normal"/>
    <w:pPr>
      <w:suppressLineNumbers/>
      <w:spacing w:before="120" w:after="120"/>
    </w:pPr>
    <w:rPr>
      <w:rFonts w:cs="Mangal"/>
      <w:i/>
      <w:iCs/>
      <w:sz w:val="24"/>
      <w:szCs w:val="24"/>
    </w:rPr>
  </w:style>
  <w:style w:type="paragraph" w:styleId="Style22">
    <w:name w:val="Ευρετήριο"/>
    <w:basedOn w:val="Normal"/>
    <w:qFormat/>
    <w:pPr>
      <w:suppressLineNumbers/>
    </w:pPr>
    <w:rPr>
      <w:rFonts w:cs="Mangal"/>
    </w:rPr>
  </w:style>
  <w:style w:type="paragraph" w:styleId="Default" w:customStyle="1">
    <w:name w:val="Default"/>
    <w:qFormat/>
    <w:rsid w:val="0093042d"/>
    <w:pPr>
      <w:widowControl/>
      <w:bidi w:val="0"/>
      <w:spacing w:lineRule="auto" w:line="240" w:before="0" w:after="0"/>
      <w:jc w:val="left"/>
    </w:pPr>
    <w:rPr>
      <w:rFonts w:ascii="Cambria" w:hAnsi="Cambria" w:eastAsia="Calibri" w:cs="Cambria"/>
      <w:color w:val="000000"/>
      <w:sz w:val="24"/>
      <w:szCs w:val="24"/>
      <w:lang w:val="el-GR" w:eastAsia="en-US" w:bidi="ar-SA"/>
    </w:rPr>
  </w:style>
  <w:style w:type="paragraph" w:styleId="Footnotetext">
    <w:name w:val="footnote text"/>
    <w:basedOn w:val="Normal"/>
    <w:link w:val="Char"/>
    <w:uiPriority w:val="99"/>
    <w:semiHidden/>
    <w:unhideWhenUsed/>
    <w:qFormat/>
    <w:rsid w:val="00977cb2"/>
    <w:pPr/>
    <w:rPr/>
  </w:style>
  <w:style w:type="paragraph" w:styleId="Style23">
    <w:name w:val="Υποσημείωση"/>
    <w:basedOn w:val="Normal"/>
    <w:pPr/>
    <w:rPr/>
  </w:style>
  <w:style w:type="numbering" w:styleId="NoList" w:default="1">
    <w:name w:val="No List"/>
    <w:uiPriority w:val="99"/>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349B5-EE68-4482-9F17-9AA1B7A08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Application>LibreOffice/5.0.3.2$Windows_x86 LibreOffice_project/e5f16313668ac592c1bfb310f4390624e3dbfb75</Application>
  <Paragraphs>240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2016-11-17T13:59:00Z</dcterms:created>
  <dc:creator>User</dc:creator>
  <dc:language>el-GR</dc:language>
  <cp:lastPrinted>2016-11-25T07:54:20Z</cp:lastPrinted>
  <dcterms:modified xsi:type="dcterms:W3CDTF">2016-11-25T09:31:53Z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