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3"/>
        <w:tabs>
          <w:tab w:val="left" w:pos="4536" w:leader="none"/>
        </w:tabs>
        <w:ind w:left="0" w:right="0" w:hanging="0"/>
        <w:rPr/>
      </w:pPr>
      <w:r>
        <w:rPr/>
        <w:drawing>
          <wp:inline distT="0" distB="0" distL="0" distR="0">
            <wp:extent cx="808990" cy="790575"/>
            <wp:effectExtent l="0" t="0" r="0" b="0"/>
            <wp:docPr id="1" name="Picture"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ellas"/>
                    <pic:cNvPicPr>
                      <a:picLocks noChangeAspect="1" noChangeArrowheads="1"/>
                    </pic:cNvPicPr>
                  </pic:nvPicPr>
                  <pic:blipFill>
                    <a:blip r:embed="rId2"/>
                    <a:stretch>
                      <a:fillRect/>
                    </a:stretch>
                  </pic:blipFill>
                  <pic:spPr bwMode="auto">
                    <a:xfrm>
                      <a:off x="0" y="0"/>
                      <a:ext cx="808990" cy="790575"/>
                    </a:xfrm>
                    <a:prstGeom prst="rect">
                      <a:avLst/>
                    </a:prstGeom>
                  </pic:spPr>
                </pic:pic>
              </a:graphicData>
            </a:graphic>
          </wp:inline>
        </w:drawing>
      </w:r>
    </w:p>
    <w:p>
      <w:pPr>
        <w:pStyle w:val="3"/>
        <w:tabs>
          <w:tab w:val="left" w:pos="4536" w:leader="none"/>
        </w:tabs>
        <w:ind w:left="0" w:right="0" w:hanging="0"/>
        <w:rPr/>
      </w:pPr>
      <w:r>
        <w:rPr>
          <w:rFonts w:ascii="Calibri" w:hAnsi="Calibri"/>
          <w:sz w:val="24"/>
          <w:szCs w:val="24"/>
        </w:rPr>
        <w:t>ΕΛΛΗΝΙΚΗ ΔΗΜΟΚΡΑΤΙΑ</w:t>
        <w:tab/>
        <w:t xml:space="preserve">                    ΠΡΟΜΗΘΕΙΑ </w:t>
      </w:r>
      <w:r>
        <w:rPr>
          <w:rFonts w:ascii="Calibri" w:hAnsi="Calibri"/>
          <w:sz w:val="24"/>
          <w:szCs w:val="24"/>
          <w:lang w:val="el-GR"/>
        </w:rPr>
        <w:t>ΧΡΩΜΑΤΩΝ</w:t>
      </w:r>
      <w:r>
        <w:rPr>
          <w:rFonts w:ascii="Calibri" w:hAnsi="Calibri"/>
          <w:sz w:val="24"/>
          <w:szCs w:val="24"/>
          <w:lang w:val="en-US"/>
        </w:rPr>
        <w:t xml:space="preserve"> </w:t>
      </w:r>
      <w:r>
        <w:rPr>
          <w:rFonts w:ascii="Calibri" w:hAnsi="Calibri"/>
          <w:sz w:val="24"/>
          <w:szCs w:val="24"/>
          <w:lang w:val="el-GR"/>
        </w:rPr>
        <w:t xml:space="preserve">ΓΙΑ ΤΗΝ ΔΡΑΣΗ : </w:t>
      </w:r>
    </w:p>
    <w:p>
      <w:pPr>
        <w:pStyle w:val="3"/>
        <w:tabs>
          <w:tab w:val="left" w:pos="4536" w:leader="none"/>
        </w:tabs>
        <w:ind w:left="0" w:right="0" w:hanging="0"/>
        <w:rPr/>
      </w:pPr>
      <w:r>
        <w:rPr>
          <w:rFonts w:ascii="Calibri" w:hAnsi="Calibri"/>
          <w:sz w:val="24"/>
          <w:szCs w:val="24"/>
          <w:lang w:val="el-GR"/>
        </w:rPr>
        <w:t xml:space="preserve"> </w:t>
      </w:r>
      <w:r>
        <w:rPr>
          <w:rFonts w:ascii="Calibri" w:hAnsi="Calibri"/>
          <w:sz w:val="24"/>
          <w:szCs w:val="24"/>
          <w:lang w:val="el-GR"/>
        </w:rPr>
        <w:t xml:space="preserve">ΔΗΜΟΣ ΛΕΒΑΔΕΩΝ                                                                   ΣΥΝΤΗΡΗΣΗ ΚΟΙΝΟΧΡΗΣΤΩΝ ΧΩΡΩΝ </w:t>
      </w:r>
    </w:p>
    <w:p>
      <w:pPr>
        <w:pStyle w:val="3"/>
        <w:tabs>
          <w:tab w:val="left" w:pos="4536" w:leader="none"/>
        </w:tabs>
        <w:ind w:left="0" w:right="0" w:hanging="0"/>
        <w:rPr/>
      </w:pPr>
      <w:r>
        <w:rPr>
          <w:rFonts w:ascii="Calibri" w:hAnsi="Calibri"/>
          <w:sz w:val="24"/>
          <w:szCs w:val="24"/>
          <w:lang w:val="el-GR"/>
        </w:rPr>
        <w:t xml:space="preserve">                                                                                                       </w:t>
      </w:r>
      <w:r>
        <w:rPr>
          <w:rFonts w:ascii="Calibri" w:hAnsi="Calibri"/>
          <w:sz w:val="24"/>
          <w:szCs w:val="24"/>
          <w:lang w:val="el-GR"/>
        </w:rPr>
        <w:t xml:space="preserve">ΤΟΥ ΔΗΜΟΥ ΛΕΒΑΔΕΩΝ </w:t>
      </w:r>
    </w:p>
    <w:p>
      <w:pPr>
        <w:pStyle w:val="3"/>
        <w:tabs>
          <w:tab w:val="left" w:pos="4536" w:leader="none"/>
        </w:tabs>
        <w:ind w:left="0" w:right="0" w:hanging="0"/>
        <w:rPr/>
      </w:pPr>
      <w:r>
        <w:rPr>
          <w:rFonts w:ascii="Calibri" w:hAnsi="Calibri"/>
          <w:sz w:val="24"/>
          <w:szCs w:val="24"/>
        </w:rPr>
        <w:tab/>
        <w:t xml:space="preserve">                    </w:t>
      </w:r>
      <w:r>
        <w:rPr>
          <w:rFonts w:ascii="Calibri" w:hAnsi="Calibri"/>
          <w:sz w:val="24"/>
          <w:szCs w:val="24"/>
          <w:lang w:val="en-US"/>
        </w:rPr>
        <w:t>CPV</w:t>
      </w:r>
      <w:r>
        <w:rPr>
          <w:rFonts w:ascii="Calibri" w:hAnsi="Calibri"/>
          <w:sz w:val="24"/>
          <w:szCs w:val="24"/>
          <w:lang w:val="el-GR"/>
        </w:rPr>
        <w:t>: 24200000-6 " Χρώματα και χρωστικές ουσίες"</w:t>
      </w:r>
    </w:p>
    <w:p>
      <w:pPr>
        <w:pStyle w:val="3"/>
        <w:tabs>
          <w:tab w:val="left" w:pos="4536" w:leader="none"/>
        </w:tabs>
        <w:ind w:left="0" w:right="0" w:hanging="0"/>
        <w:rPr/>
      </w:pPr>
      <w:r>
        <w:rPr>
          <w:rFonts w:ascii="Calibri" w:hAnsi="Calibri"/>
          <w:sz w:val="24"/>
          <w:szCs w:val="24"/>
        </w:rPr>
        <w:tab/>
        <w:t xml:space="preserve">                    ΠΡΟΫΠ. 1.987,10€ ( με Φ.Π.Α.)</w:t>
      </w:r>
    </w:p>
    <w:p>
      <w:pPr>
        <w:pStyle w:val="3"/>
        <w:tabs>
          <w:tab w:val="left" w:pos="4536" w:leader="none"/>
        </w:tabs>
        <w:ind w:left="0" w:right="0" w:hanging="0"/>
        <w:rPr/>
      </w:pPr>
      <w:r>
        <w:rPr>
          <w:rFonts w:ascii="Calibri" w:hAnsi="Calibri"/>
          <w:sz w:val="24"/>
          <w:szCs w:val="24"/>
        </w:rPr>
        <w:tab/>
        <w:t xml:space="preserve">                    ΑΡ. ΜΕΛΕΤΗΣ: </w:t>
      </w:r>
      <w:r>
        <w:rPr>
          <w:rFonts w:ascii="Calibri" w:hAnsi="Calibri"/>
          <w:sz w:val="24"/>
          <w:szCs w:val="24"/>
          <w:lang w:val="el-GR"/>
        </w:rPr>
        <w:t>48</w:t>
      </w:r>
      <w:r>
        <w:rPr>
          <w:rFonts w:ascii="Calibri" w:hAnsi="Calibri"/>
          <w:sz w:val="24"/>
          <w:szCs w:val="24"/>
        </w:rPr>
        <w:t>/201</w:t>
      </w:r>
      <w:r>
        <w:rPr>
          <w:rFonts w:ascii="Calibri" w:hAnsi="Calibri"/>
          <w:sz w:val="24"/>
          <w:szCs w:val="24"/>
          <w:lang w:val="el-GR"/>
        </w:rPr>
        <w:t>7</w:t>
      </w:r>
      <w:r>
        <w:rPr>
          <w:rFonts w:ascii="Calibri" w:hAnsi="Calibri"/>
          <w:sz w:val="24"/>
          <w:szCs w:val="24"/>
        </w:rPr>
        <w:t xml:space="preserve"> </w:t>
      </w:r>
    </w:p>
    <w:p>
      <w:pPr>
        <w:pStyle w:val="Normal"/>
        <w:spacing w:lineRule="atLeast" w:line="100" w:before="0" w:after="0"/>
        <w:rPr>
          <w:rFonts w:ascii="Calibri" w:hAnsi="Calibri"/>
          <w:sz w:val="24"/>
          <w:szCs w:val="24"/>
        </w:rPr>
      </w:pPr>
      <w:r>
        <w:rPr>
          <w:rFonts w:eastAsia="LucidaSansUnicode" w:cs="LucidaSansUnicode"/>
          <w:color w:val="FFFFFF"/>
          <w:sz w:val="24"/>
          <w:szCs w:val="24"/>
        </w:rPr>
        <w:t>ΕΛΛΗΝΙΚΗ ΔΗΜΟΚΡΑΤΙΑ</w:t>
      </w:r>
    </w:p>
    <w:p>
      <w:pPr>
        <w:pStyle w:val="Normal"/>
        <w:spacing w:lineRule="atLeast" w:line="100" w:before="0" w:after="0"/>
        <w:jc w:val="both"/>
        <w:rPr/>
      </w:pPr>
      <w:r>
        <w:rPr>
          <w:rFonts w:eastAsia="LucidaSansUnicode" w:cs="Arial"/>
          <w:b/>
          <w:sz w:val="24"/>
          <w:szCs w:val="24"/>
          <w:u w:val="single"/>
        </w:rPr>
        <w:t xml:space="preserve">Τεχνικές  προδιαγραφές για την προμήθεια χρωμάτων </w:t>
      </w:r>
      <w:r>
        <w:rPr>
          <w:rFonts w:eastAsia="Arial Unicode MS" w:cs="Calibri"/>
          <w:b/>
          <w:sz w:val="24"/>
          <w:szCs w:val="24"/>
          <w:u w:val="single"/>
        </w:rPr>
        <w:t xml:space="preserve">για την </w:t>
      </w:r>
      <w:r>
        <w:rPr>
          <w:rFonts w:eastAsia="Arial Unicode MS" w:cs="Calibri"/>
          <w:b/>
          <w:bCs/>
          <w:i w:val="false"/>
          <w:iCs w:val="false"/>
          <w:sz w:val="24"/>
          <w:szCs w:val="24"/>
          <w:u w:val="single"/>
        </w:rPr>
        <w:t>την Δράση : Συντήρηση Κοινόχρηστων  Χώρων</w:t>
      </w:r>
      <w:r>
        <w:rPr>
          <w:rFonts w:eastAsia="LucidaSansUnicode" w:cs="Arial" w:ascii="Arial" w:hAnsi="Arial"/>
          <w:b/>
          <w:bCs/>
          <w:i w:val="false"/>
          <w:iCs w:val="false"/>
          <w:sz w:val="24"/>
          <w:szCs w:val="24"/>
          <w:u w:val="single"/>
        </w:rPr>
        <w:t xml:space="preserve"> </w:t>
      </w:r>
    </w:p>
    <w:p>
      <w:pPr>
        <w:pStyle w:val="Normal"/>
        <w:spacing w:lineRule="atLeast" w:line="100" w:before="0" w:after="0"/>
        <w:jc w:val="both"/>
        <w:rPr>
          <w:rFonts w:ascii="Arial" w:hAnsi="Arial" w:eastAsia="LucidaSansUnicode" w:cs="Arial"/>
          <w:b/>
          <w:b/>
          <w:bCs/>
          <w:i w:val="false"/>
          <w:i w:val="false"/>
          <w:iCs w:val="false"/>
          <w:sz w:val="24"/>
          <w:szCs w:val="24"/>
          <w:u w:val="single"/>
        </w:rPr>
      </w:pPr>
      <w:r>
        <w:rPr>
          <w:rFonts w:eastAsia="LucidaSansUnicode" w:cs="Arial" w:ascii="Arial" w:hAnsi="Arial"/>
          <w:b/>
          <w:bCs/>
          <w:i w:val="false"/>
          <w:iCs w:val="false"/>
          <w:sz w:val="24"/>
          <w:szCs w:val="24"/>
          <w:u w:val="single"/>
        </w:rPr>
      </w:r>
    </w:p>
    <w:p>
      <w:pPr>
        <w:pStyle w:val="Normal"/>
        <w:spacing w:lineRule="atLeast" w:line="100" w:before="0" w:after="0"/>
        <w:jc w:val="both"/>
        <w:rPr/>
      </w:pPr>
      <w:r>
        <w:rPr>
          <w:rFonts w:eastAsia="LucidaSansUnicode" w:cs="Arial"/>
          <w:sz w:val="24"/>
          <w:szCs w:val="24"/>
        </w:rPr>
        <w:t>Έχοντας λάβει υπόψη:</w:t>
      </w:r>
    </w:p>
    <w:p>
      <w:pPr>
        <w:pStyle w:val="Normal"/>
        <w:numPr>
          <w:ilvl w:val="0"/>
          <w:numId w:val="1"/>
        </w:numPr>
        <w:spacing w:lineRule="auto" w:line="240"/>
        <w:rPr>
          <w:color w:val="000000"/>
          <w:sz w:val="20"/>
          <w:szCs w:val="20"/>
        </w:rPr>
      </w:pPr>
      <w:r>
        <w:rPr>
          <w:rFonts w:ascii="Candara" w:hAnsi="Candara"/>
          <w:color w:val="000000"/>
          <w:sz w:val="20"/>
          <w:szCs w:val="20"/>
        </w:rPr>
        <w:t>Τ</w:t>
      </w:r>
      <w:r>
        <w:rPr>
          <w:color w:val="000000"/>
          <w:sz w:val="20"/>
          <w:szCs w:val="20"/>
        </w:rPr>
        <w:t xml:space="preserve">ην Υπουργική Απόφαση αρ. 61714/51504 Φ.Ε.Κ. 424/Β' / 22.02.2016 </w:t>
      </w:r>
      <w:r>
        <w:rPr>
          <w:i/>
          <w:iCs/>
          <w:color w:val="000000"/>
          <w:sz w:val="20"/>
          <w:szCs w:val="20"/>
        </w:rPr>
        <w:t>" Προώθηση της Απασχόλησης μέσω Προγραμμάτων Κοινωφελούς Χαρακτήρα στα πλαίσια του ΕΣΠΑ 2014-2020 "</w:t>
      </w:r>
      <w:r>
        <w:rPr>
          <w:color w:val="000000"/>
          <w:sz w:val="20"/>
          <w:szCs w:val="20"/>
        </w:rPr>
        <w:t xml:space="preserve"> </w:t>
      </w:r>
    </w:p>
    <w:p>
      <w:pPr>
        <w:pStyle w:val="Normal"/>
        <w:numPr>
          <w:ilvl w:val="0"/>
          <w:numId w:val="1"/>
        </w:numPr>
        <w:spacing w:lineRule="auto" w:line="240"/>
        <w:rPr>
          <w:rFonts w:ascii="Calibri" w:hAnsi="Calibri"/>
          <w:color w:val="000000"/>
          <w:sz w:val="20"/>
          <w:szCs w:val="20"/>
        </w:rPr>
      </w:pPr>
      <w:r>
        <w:rPr>
          <w:color w:val="000000"/>
          <w:sz w:val="20"/>
          <w:szCs w:val="20"/>
        </w:rPr>
        <w:t>Τις διατάξεις του άρθρου 65 του Ν. 3852/2010</w:t>
      </w:r>
    </w:p>
    <w:p>
      <w:pPr>
        <w:pStyle w:val="Normal"/>
        <w:numPr>
          <w:ilvl w:val="0"/>
          <w:numId w:val="1"/>
        </w:numPr>
        <w:spacing w:lineRule="auto" w:line="240"/>
        <w:rPr>
          <w:rFonts w:ascii="Calibri" w:hAnsi="Calibri"/>
          <w:color w:val="000000"/>
          <w:sz w:val="20"/>
          <w:szCs w:val="20"/>
        </w:rPr>
      </w:pPr>
      <w:r>
        <w:rPr>
          <w:b/>
          <w:bCs/>
          <w:color w:val="000000"/>
          <w:sz w:val="20"/>
          <w:szCs w:val="20"/>
        </w:rPr>
        <w:t xml:space="preserve">Το άρθρο 61 του Ν. 4414/2016 Φ.Ε.Κ. 149/τ.Α'/09.08.2016 " </w:t>
      </w:r>
      <w:r>
        <w:rPr>
          <w:b/>
          <w:bCs/>
          <w:i/>
          <w:iCs/>
          <w:color w:val="000000"/>
          <w:sz w:val="20"/>
          <w:szCs w:val="20"/>
        </w:rPr>
        <w:t>Ενίσχυση Οργανισμών Τοπικής Αυτοδιοίκησης και Νομικών Προσώπων Δημοσίου Δηκαίου των Ο.Τ.Α. από το Ταμείο Παρακαθηκών και Δανείων με σκοπό την προώθηση της απασχόλησης</w:t>
      </w:r>
      <w:r>
        <w:rPr>
          <w:b/>
          <w:bCs/>
          <w:color w:val="000000"/>
          <w:sz w:val="20"/>
          <w:szCs w:val="20"/>
        </w:rPr>
        <w:t xml:space="preserve"> "</w:t>
      </w:r>
    </w:p>
    <w:p>
      <w:pPr>
        <w:pStyle w:val="Normal"/>
        <w:numPr>
          <w:ilvl w:val="0"/>
          <w:numId w:val="1"/>
        </w:numPr>
        <w:spacing w:lineRule="auto" w:line="240"/>
        <w:rPr>
          <w:rFonts w:ascii="Calibri" w:hAnsi="Calibri"/>
          <w:color w:val="000000"/>
          <w:sz w:val="20"/>
          <w:szCs w:val="20"/>
        </w:rPr>
      </w:pPr>
      <w:r>
        <w:rPr>
          <w:color w:val="000000"/>
          <w:sz w:val="20"/>
          <w:szCs w:val="20"/>
        </w:rPr>
        <w:t>Την υποπαράγραφο ΙΔ.1 του Ν. 4152/2013 Α' 107 όπως αυτή έχει τροποποιηθεί και ισχύει</w:t>
      </w:r>
    </w:p>
    <w:p>
      <w:pPr>
        <w:pStyle w:val="Normal"/>
        <w:numPr>
          <w:ilvl w:val="0"/>
          <w:numId w:val="1"/>
        </w:numPr>
        <w:spacing w:lineRule="auto" w:line="240"/>
        <w:rPr>
          <w:rFonts w:ascii="Calibri" w:hAnsi="Calibri"/>
          <w:color w:val="000000"/>
          <w:sz w:val="20"/>
          <w:szCs w:val="20"/>
        </w:rPr>
      </w:pPr>
      <w:r>
        <w:rPr>
          <w:color w:val="000000"/>
          <w:sz w:val="20"/>
          <w:szCs w:val="20"/>
        </w:rPr>
        <w:t xml:space="preserve"> </w:t>
      </w:r>
      <w:r>
        <w:rPr>
          <w:color w:val="000000"/>
          <w:sz w:val="20"/>
          <w:szCs w:val="20"/>
        </w:rPr>
        <w:t xml:space="preserve">Την με αρ. 2/75333/ΔΠΔΑ/2016 κοινή Υπουργική Απόφαση των Υπουργών Εσωτερικών και Διοικητικής Ανασυγκρότησης και Οικονομικών Φ.Ε.Κ. 3108/28.09.2016 β </w:t>
      </w:r>
    </w:p>
    <w:p>
      <w:pPr>
        <w:pStyle w:val="Normal"/>
        <w:numPr>
          <w:ilvl w:val="0"/>
          <w:numId w:val="1"/>
        </w:numPr>
        <w:spacing w:lineRule="auto" w:line="240"/>
        <w:rPr>
          <w:rFonts w:ascii="Calibri" w:hAnsi="Calibri"/>
          <w:color w:val="000000"/>
          <w:sz w:val="20"/>
          <w:szCs w:val="20"/>
        </w:rPr>
      </w:pPr>
      <w:r>
        <w:rPr>
          <w:color w:val="000000"/>
          <w:sz w:val="20"/>
          <w:szCs w:val="20"/>
        </w:rPr>
        <w:t xml:space="preserve">Την υπ' αριθμόν 3593/01.11.2016 Απόφαση του Διοικητικού Συμβουλίου του Ταμείου Παρακαταθηκών και Δανείων </w:t>
      </w:r>
    </w:p>
    <w:p>
      <w:pPr>
        <w:pStyle w:val="Normal"/>
        <w:numPr>
          <w:ilvl w:val="0"/>
          <w:numId w:val="1"/>
        </w:numPr>
        <w:spacing w:lineRule="auto" w:line="240"/>
        <w:rPr>
          <w:rFonts w:ascii="Calibri" w:hAnsi="Calibri"/>
          <w:color w:val="000000"/>
          <w:sz w:val="20"/>
          <w:szCs w:val="20"/>
        </w:rPr>
      </w:pPr>
      <w:r>
        <w:rPr>
          <w:color w:val="000000"/>
          <w:sz w:val="20"/>
          <w:szCs w:val="20"/>
        </w:rPr>
        <w:t>Τον αριθμόν υποβολής στο Πρόγραμμα Κοινωφελούς Εργασίας σε Δήμου του Υπουργείου Εργασίας , Κοινωνικής Ασφάλισης και Κοινωνικής Αλληλεγγύης : α) κωδ. 1.48 ( 20.07.2016) β) κωδ. 1.16/θ ( 27.07.2016) και γ) κωδ. 1.19/β (27.07.2016)</w:t>
      </w:r>
    </w:p>
    <w:p>
      <w:pPr>
        <w:pStyle w:val="Normal"/>
        <w:numPr>
          <w:ilvl w:val="0"/>
          <w:numId w:val="1"/>
        </w:numPr>
        <w:spacing w:lineRule="auto" w:line="240" w:before="0" w:after="0"/>
        <w:jc w:val="both"/>
        <w:rPr/>
      </w:pPr>
      <w:r>
        <w:rPr>
          <w:rFonts w:eastAsia="LucidaSansUnicode" w:cs="Arial"/>
          <w:color w:val="000000"/>
          <w:sz w:val="20"/>
          <w:szCs w:val="20"/>
        </w:rPr>
        <w:t xml:space="preserve">Την υπ' αριθμόν 443/16.11.2016  Απόφαση του Δημοτικού Συμβουλίου  του Δήμου Λεβαδέων περί " </w:t>
      </w:r>
      <w:r>
        <w:rPr>
          <w:rFonts w:eastAsia="LucidaSansUnicode" w:cs="Arial"/>
          <w:i/>
          <w:iCs/>
          <w:color w:val="000000"/>
          <w:sz w:val="20"/>
          <w:szCs w:val="20"/>
        </w:rPr>
        <w:t>Υλοποίηση του Προγράμματος "Προώθηση της απασχόλησης μέσω προγραμμάτων κοινωφελούς χαρακτήρα σε 34 Δήμους ( θύλακες υψηλής ανεργίας) ( συμπεριλαμβανομένης της κατάρτισης των συμμετεχόντων) " Β' Φάση - Έγκριση σχεδίου σύμβασης δεσμευμένου λογαριασμού με το Τ.Π. &amp; Δ - Εξουσιοδότηση Δημάρχου κ. Γιώτας Πούλου για υπογραφή της σχετικής σύμβασης</w:t>
      </w:r>
      <w:r>
        <w:rPr>
          <w:rFonts w:eastAsia="LucidaSansUnicode" w:cs="Arial"/>
          <w:color w:val="000000"/>
          <w:sz w:val="20"/>
          <w:szCs w:val="20"/>
        </w:rPr>
        <w:t xml:space="preserve"> "  ΑΔΑ: 767ΣΩΛΗ-ΗΗΧ</w:t>
      </w:r>
    </w:p>
    <w:p>
      <w:pPr>
        <w:pStyle w:val="Normal"/>
        <w:numPr>
          <w:ilvl w:val="0"/>
          <w:numId w:val="1"/>
        </w:numPr>
        <w:spacing w:lineRule="auto" w:line="240" w:before="0" w:after="0"/>
        <w:jc w:val="both"/>
        <w:rPr/>
      </w:pPr>
      <w:r>
        <w:rPr>
          <w:rFonts w:eastAsia="LucidaSansUnicode" w:cs="Arial"/>
          <w:color w:val="000000"/>
          <w:sz w:val="20"/>
          <w:szCs w:val="20"/>
          <w:lang w:val="en-US"/>
        </w:rPr>
        <w:t>T</w:t>
      </w:r>
      <w:r>
        <w:rPr>
          <w:rFonts w:eastAsia="LucidaSansUnicode" w:cs="Arial"/>
          <w:color w:val="000000"/>
          <w:sz w:val="20"/>
          <w:szCs w:val="20"/>
          <w:lang w:val="el-GR"/>
        </w:rPr>
        <w:t xml:space="preserve">ον Κ.Α. </w:t>
      </w:r>
      <w:r>
        <w:rPr>
          <w:rFonts w:eastAsia="LucidaSansUnicode" w:cs="Arial"/>
          <w:color w:val="000000"/>
          <w:sz w:val="20"/>
          <w:szCs w:val="20"/>
          <w:lang w:val="en-US"/>
        </w:rPr>
        <w:t>30</w:t>
      </w:r>
      <w:r>
        <w:rPr>
          <w:rFonts w:eastAsia="LucidaSansUnicode" w:cs="Arial"/>
          <w:color w:val="000000"/>
          <w:sz w:val="20"/>
          <w:szCs w:val="20"/>
          <w:lang w:val="el-GR"/>
        </w:rPr>
        <w:t>/6662.0</w:t>
      </w:r>
      <w:r>
        <w:rPr>
          <w:rFonts w:eastAsia="LucidaSansUnicode" w:cs="Arial"/>
          <w:color w:val="000000"/>
          <w:sz w:val="20"/>
          <w:szCs w:val="20"/>
          <w:lang w:val="en-US"/>
        </w:rPr>
        <w:t>15</w:t>
      </w:r>
      <w:r>
        <w:rPr>
          <w:rFonts w:eastAsia="LucidaSansUnicode" w:cs="Arial"/>
          <w:color w:val="000000"/>
          <w:sz w:val="20"/>
          <w:szCs w:val="20"/>
          <w:lang w:val="el-GR"/>
        </w:rPr>
        <w:t xml:space="preserve">  στον οποίο υπάρχει πίστωση 5.500,00€ με τίτλο : " Προμήθεια Υλικών για </w:t>
      </w:r>
      <w:r>
        <w:rPr>
          <w:rFonts w:eastAsia="LucidaSansUnicode" w:cs="Arial"/>
          <w:color w:val="000000"/>
          <w:sz w:val="20"/>
          <w:szCs w:val="20"/>
          <w:lang w:val="en-US"/>
        </w:rPr>
        <w:t>"</w:t>
      </w:r>
      <w:r>
        <w:rPr>
          <w:rFonts w:eastAsia="LucidaSansUnicode" w:cs="Arial"/>
          <w:color w:val="000000"/>
          <w:sz w:val="20"/>
          <w:szCs w:val="20"/>
          <w:lang w:val="el-GR"/>
        </w:rPr>
        <w:t xml:space="preserve"> Συντήρηση Κοινόχρηστων Χώρων </w:t>
      </w:r>
      <w:r>
        <w:rPr>
          <w:rFonts w:eastAsia="LucidaSansUnicode" w:cs="Arial"/>
          <w:color w:val="000000"/>
          <w:sz w:val="20"/>
          <w:szCs w:val="20"/>
          <w:lang w:val="el-GR"/>
        </w:rPr>
        <w:t xml:space="preserve">του </w:t>
      </w:r>
      <w:r>
        <w:rPr>
          <w:rFonts w:eastAsia="LucidaSansUnicode" w:cs="Arial"/>
          <w:color w:val="000000"/>
          <w:sz w:val="20"/>
          <w:szCs w:val="20"/>
          <w:lang w:val="el-GR"/>
        </w:rPr>
        <w:t>Δήμου Λεβαδέων</w:t>
      </w:r>
      <w:r>
        <w:rPr>
          <w:rFonts w:eastAsia="LucidaSansUnicode" w:cs="Arial"/>
          <w:color w:val="000000"/>
          <w:sz w:val="20"/>
          <w:szCs w:val="20"/>
          <w:lang w:val="el-GR"/>
        </w:rPr>
        <w:t xml:space="preserve">" </w:t>
      </w:r>
      <w:r>
        <w:rPr>
          <w:rFonts w:eastAsia="LucidaSansUnicode" w:cs="Arial"/>
          <w:color w:val="000000"/>
          <w:sz w:val="20"/>
          <w:szCs w:val="20"/>
          <w:lang w:val="el-GR"/>
        </w:rPr>
        <w:t xml:space="preserve"> </w:t>
      </w:r>
      <w:r>
        <w:rPr>
          <w:rFonts w:eastAsia="LucidaSansUnicode" w:cs="Arial"/>
          <w:color w:val="000000"/>
          <w:sz w:val="20"/>
          <w:szCs w:val="20"/>
          <w:lang w:val="el-GR"/>
        </w:rPr>
        <w:t>( Τ.Π. &amp; Δανείων για προώθηση της απασχόλησης μέσω προγραμμάτων κοινωφελούς χαρακτήρα - άρθρ. 61 Ν. 4414/2016 )</w:t>
      </w:r>
      <w:r>
        <w:rPr>
          <w:rFonts w:eastAsia="LucidaSansUnicode" w:cs="Arial"/>
          <w:color w:val="000000"/>
          <w:sz w:val="20"/>
          <w:szCs w:val="20"/>
          <w:lang w:val="el-GR"/>
        </w:rPr>
        <w:t xml:space="preserve"> μετά και την υπ' αριθμόν </w:t>
      </w:r>
      <w:r>
        <w:rPr>
          <w:rFonts w:eastAsia="LucidaSansUnicode" w:cs="Arial"/>
          <w:color w:val="000000"/>
          <w:sz w:val="20"/>
          <w:szCs w:val="20"/>
          <w:lang w:val="el-GR"/>
        </w:rPr>
        <w:t>108</w:t>
      </w:r>
      <w:r>
        <w:rPr>
          <w:rFonts w:eastAsia="LucidaSansUnicode" w:cs="Arial"/>
          <w:color w:val="000000"/>
          <w:sz w:val="20"/>
          <w:szCs w:val="20"/>
          <w:lang w:val="el-GR"/>
        </w:rPr>
        <w:t>/2017 απόφαση του Δημοτικού Συμβουλίου περί αναμόρφωσης Προϋπολογισμού.</w:t>
      </w:r>
    </w:p>
    <w:p>
      <w:pPr>
        <w:pStyle w:val="Normal"/>
        <w:spacing w:lineRule="atLeast" w:line="100" w:before="0" w:after="0"/>
        <w:jc w:val="both"/>
        <w:rPr>
          <w:rFonts w:ascii="Calibri" w:hAnsi="Calibri"/>
          <w:sz w:val="24"/>
          <w:szCs w:val="24"/>
        </w:rPr>
      </w:pPr>
      <w:r>
        <w:rPr>
          <w:rFonts w:eastAsia="LucidaSansUnicode" w:cs="Arial"/>
          <w:color w:val="193300"/>
          <w:sz w:val="24"/>
          <w:szCs w:val="24"/>
        </w:rPr>
        <w:t xml:space="preserve">Καθώς και : </w:t>
      </w:r>
    </w:p>
    <w:p>
      <w:pPr>
        <w:pStyle w:val="Normal"/>
        <w:spacing w:lineRule="atLeast" w:line="100" w:before="0" w:after="0"/>
        <w:jc w:val="both"/>
        <w:rPr>
          <w:rFonts w:ascii="Calibri" w:hAnsi="Calibri"/>
          <w:sz w:val="24"/>
          <w:szCs w:val="24"/>
        </w:rPr>
      </w:pPr>
      <w:r>
        <w:rPr>
          <w:rFonts w:eastAsia="LucidaSansUnicode" w:cs="Arial"/>
          <w:sz w:val="24"/>
          <w:szCs w:val="24"/>
        </w:rPr>
        <w:t>1) Τις διατάξεις του άρθρου 118  του Ν. 4412/2016 (Φ.Ε.Κ. 147/Α΄/08.08.16) του νέου καθεστώτος δημοσίων συμβάσεων έργων , προμηθειών και υπηρεσιών</w:t>
      </w:r>
    </w:p>
    <w:p>
      <w:pPr>
        <w:pStyle w:val="Normal"/>
        <w:spacing w:lineRule="atLeast" w:line="100" w:before="0" w:after="0"/>
        <w:jc w:val="both"/>
        <w:rPr/>
      </w:pPr>
      <w:r>
        <w:rPr>
          <w:rFonts w:eastAsia="LucidaSansUnicode" w:cs="Arial"/>
          <w:sz w:val="24"/>
          <w:szCs w:val="24"/>
        </w:rPr>
        <w:t>2) Τις διατάξεις του άρθρου 209 του Ν.3463/06 (Δ.Κ.Κ)</w:t>
      </w:r>
    </w:p>
    <w:p>
      <w:pPr>
        <w:pStyle w:val="Normal"/>
        <w:spacing w:lineRule="atLeast" w:line="100" w:before="0" w:after="0"/>
        <w:jc w:val="both"/>
        <w:rPr/>
      </w:pPr>
      <w:r>
        <w:rPr>
          <w:rFonts w:eastAsia="LucidaSansUnicode" w:cs="Arial"/>
          <w:sz w:val="24"/>
          <w:szCs w:val="24"/>
        </w:rPr>
        <w:t xml:space="preserve">3) Το Π.Δ 80/2016 </w:t>
      </w:r>
    </w:p>
    <w:p>
      <w:pPr>
        <w:pStyle w:val="Normal"/>
        <w:spacing w:lineRule="atLeast" w:line="100" w:before="0" w:after="0"/>
        <w:jc w:val="both"/>
        <w:rPr/>
      </w:pPr>
      <w:r>
        <w:rPr>
          <w:rFonts w:eastAsia="LucidaSansUnicode" w:cs="Arial"/>
          <w:sz w:val="24"/>
          <w:szCs w:val="24"/>
        </w:rPr>
        <w:t>4) Την ανάγκη του Δήμου για την προμήθεια των αναφερομένων στο θέμα ειδών.</w:t>
      </w:r>
    </w:p>
    <w:p>
      <w:pPr>
        <w:pStyle w:val="Normal"/>
        <w:spacing w:lineRule="atLeast" w:line="100" w:before="0" w:after="0"/>
        <w:jc w:val="both"/>
        <w:rPr>
          <w:rFonts w:ascii="Calibri" w:hAnsi="Calibri" w:eastAsia="LucidaSansUnicode" w:cs="Arial"/>
          <w:sz w:val="24"/>
          <w:szCs w:val="24"/>
        </w:rPr>
      </w:pPr>
      <w:r>
        <w:rPr>
          <w:rFonts w:eastAsia="LucidaSansUnicode" w:cs="Arial"/>
          <w:sz w:val="24"/>
          <w:szCs w:val="24"/>
        </w:rPr>
      </w:r>
    </w:p>
    <w:p>
      <w:pPr>
        <w:pStyle w:val="Normal"/>
        <w:spacing w:lineRule="atLeast" w:line="100" w:before="0" w:after="0"/>
        <w:jc w:val="both"/>
        <w:rPr>
          <w:b/>
          <w:b/>
          <w:bCs/>
        </w:rPr>
      </w:pPr>
      <w:r>
        <w:rPr>
          <w:rFonts w:eastAsia="LucidaSansUnicode" w:cs="Arial"/>
          <w:b/>
          <w:bCs/>
          <w:sz w:val="24"/>
          <w:szCs w:val="24"/>
        </w:rPr>
        <w:t>ΤΕΧΝΙΚΕΣ ΠΡΟΔΙΑΓΡΑΦΕΣ</w:t>
      </w:r>
    </w:p>
    <w:p>
      <w:pPr>
        <w:pStyle w:val="Normal"/>
        <w:spacing w:lineRule="atLeast" w:line="100" w:before="0" w:after="0"/>
        <w:jc w:val="both"/>
        <w:rPr>
          <w:rFonts w:ascii="Arial" w:hAnsi="Arial" w:eastAsia="LucidaSansUnicode" w:cs="Arial"/>
          <w:sz w:val="24"/>
          <w:szCs w:val="24"/>
        </w:rPr>
      </w:pPr>
      <w:r>
        <w:rPr>
          <w:rFonts w:eastAsia="LucidaSansUnicode" w:cs="Arial" w:ascii="Arial" w:hAnsi="Arial"/>
          <w:sz w:val="24"/>
          <w:szCs w:val="24"/>
        </w:rPr>
      </w:r>
    </w:p>
    <w:p>
      <w:pPr>
        <w:pStyle w:val="Normal"/>
        <w:spacing w:lineRule="atLeast" w:line="100" w:before="0" w:after="0"/>
        <w:jc w:val="both"/>
        <w:rPr>
          <w:rFonts w:ascii="Calibri" w:hAnsi="Calibri"/>
          <w:b/>
          <w:b/>
          <w:bCs/>
        </w:rPr>
      </w:pPr>
      <w:r>
        <w:rPr>
          <w:rFonts w:eastAsia="LucidaSansUnicode" w:cs="Arial"/>
          <w:b/>
          <w:bCs/>
          <w:sz w:val="24"/>
          <w:szCs w:val="24"/>
        </w:rPr>
        <w:t>1. ΟΙΚΟΛΟΓΙΚΟ ΠΛΑΣΤΙΚΟ ΧΡΩΜΑ ΕΣΩΤΕΡΙΚΩΝ ΧΩΡΩΝ (ΛΕΥΚΟ)</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Οικολογικό πιστοποιηµένο άοσµο πλαστικό χρώµα άριστης ποιότητας.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πληροί τα κριτήρια της απόφασης 2002/739/ΕΚ για την απονοµή του οικολογικού σήµατος (ecolabel).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Εφαρµόζεται σε εσωτερικές (και εξωτερικές) επιφάνειες από σοβά, µπετόν, σπατουλαρισµένες επιφάνειες, γυψοσανίδες, κ.λ.π.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προστατεύει το χρήστη και το περιβάλλον κατά την εφαρµογή.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µην περιέχει στη σύνθεσή του βαρέα µέταλλα, επικίνδυνες ουσίες, αµµωνία, φορµαλδεΰδη και αρωµατικούς υδρογονάνθρακες.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χαρακτηρίζεται από µεγάλη ευκολία εφαρµογής, υψηλή καλυπτικότητα και απόδοση, άριστες αντοχές στις διεργασίες καθαρισµού (πλύσιµο-καθάρισµα), αντοχή σε κλιµατολογικές καταπονήσεις και σχεδόν ανύπαρκτο πιτσίλισµα κατά την εφαρµογή.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είναι κατάλληλο για βαφή παιδικών σταθµών και σχολείων.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ΠΟΕ (Πτητικές Οργανικές Ενώσεις): Να ανήκει στις κατηγορίες Α/α (χρώµατα µατ εσωτερικών τοίχων και οροφών).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Οριακή Τιµή ΠΟΕ Ευρωπαϊκής Ένωσης : 75 gr/lt (2007) και 30 gr/lt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Το έτοιµο προς χρήση προϊόν να περιέχει κατά µέγιστο 15 g/l ΠΟΕ.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Αποχρώσεις - συσκευασία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διατίθεται σε λευκό χρώµα και σε συσκευασίες (δοχεία) των 3 lt και 10 lt.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ΤΕΧΝΙΚΑ ΧΑΡΑΚΤΗΡΙΣΤΙΚΑ 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Τύπος : Πλαστικό πιστοποιηµένο οικολογικό χρώµα εσωτερικής χρήσης</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Πυκνότητα (λευκού) : 1.40 ± 0.05 gr/ml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κ.β. (λευκό) : 62 ± 3 %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κ.ό.: 43 ± 3 % pH : 7.5 - 9.0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Καλυπτικότητα για SR 20 m2/Lt : CR 93.5 ± 0.5 %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είκτης λευκότητας: ≥ 80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είκτης κιτρινίσµατος: ≤ 1.5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ιαπερατότητα υδρατµών (SD ): 0.210 ± 0.010 (κλάση ΙΙ)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ιαπερατότητα CO2 (SD ) : Να είναι κατάλληλο για την προστασία του τσιµέντου από την ενανθράκωση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Αντοχή σε πλύσιµο-τρίψιµο: &gt; 9.000 κινήσεις (κλάση 2)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Στιλπνότητα 85°: 5 ± 2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Ικανότητα επαναχρωµατισµού : Να µην παρατηρείται καµιά αλλοίωση της αρχικής στρώσης Επιταχυνόµενη γήρανση µε ακτινοβολία UV: 1000 h: Να µην παρατηρείται αλλοίωση του φιλµ Τεχνικές Προδιαγραφές 3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Πάχος ξηρού φιλµ ανά στρώση : 30 ± 3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Προτεινόµενο συνολικό πάχος ξηρού φιλµ : 60 ± 6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 8 -12 m²/Lt για πλήρη κάλυψη (2 στρώσεις), ανάλογα µε την απορροφητικότητα και την προετοιµασία της επιφάνειας. </w:t>
      </w:r>
    </w:p>
    <w:p>
      <w:pPr>
        <w:pStyle w:val="Normal"/>
        <w:spacing w:lineRule="atLeast" w:line="100" w:before="0" w:after="0"/>
        <w:jc w:val="both"/>
        <w:rPr>
          <w:rFonts w:ascii="Calibri" w:hAnsi="Calibri"/>
          <w:b/>
          <w:b/>
          <w:bCs/>
        </w:rPr>
      </w:pPr>
      <w:r>
        <w:rPr>
          <w:rFonts w:eastAsia="LucidaSansUnicode" w:cs="Arial"/>
          <w:b/>
          <w:bCs/>
          <w:sz w:val="24"/>
          <w:szCs w:val="24"/>
        </w:rPr>
        <w:t xml:space="preserve">2. ΣΙΛΙΚΟΝΟΥΧΟ ΜΙΚΡΟΝΙΖΕ ΑΚΡΥΛΙΚΟ ΑΣΤΑΡΙ ΝΕΡΟΥ (για πλαστικά και ακρυλικά χρώµατα) ΓΙΑ ΕΣΩΤΕΡΙΚΕΣ ΚΑΙ ΕΞΩΤΕΡΙΚΕΣ ΕΠΙΦΑΝΕΙΕΣ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Σιλικονούχο µικρονιζέ ακρυλικό αστάρι νερού.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Εφαρµόζεται σε εσωτερικές και εξωτερικές επιφάνειες που βάφονται µε σιλικονούχα, ελαστοµερή και ακρυλικά χρώµατα καθώς επίσης και µε στεγανωτικά, τσιµεντοχρώµατα και πλαστικά χρώµατα. Πρέπει να εξασφαλίζει την αδιαβροχοποίηση της επιφάνειας, έχοντας παράλληλα υψηλή διαπνοή.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συµβάλλει στον περιορισµό της µετανάστευσης αλάτων από τον τοίχο στην επιφάνεια του τελικού χρώµατος και να περιορίζει το φαινόµενο της ανερχόµενης υγρασίας.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έχει ισχυρή πρόσφυση και υψηλές αντοχές σε αλκαλικά υποστρώµατα.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διακρίνεται για την διεισδυτική του ικανότητα και την εξαιρετική του συνδετικότητα, σταθεροποιώντας τις σαθρές, παλιές ή πορώδεις επιφάνειες όπως : σοβά, µπετόν, πέτρες, γυψοσανίδες, τούβλα, γύψο καθώς και τα κακής ποιότητας παλαιά χρώµατα.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συνεισφέρει στις ιδιότητες των τελικών χρωµάτων (πλαστικά, ακρυλικά, τσιµεντοχρώµατα, κ.λ.π.), προσδίδοντάς τους βελτιωµένη καλυπτικότητα, υψηλότερες αντοχές, καλύτερο δούλεµα και ισχυρότερη πρόσφυση.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Να είναι άοσµο και φιλικό για τον χρήστη και το περιβάλλον.</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ΠΟΕ (Πτητικές Οργανικές Ενώσεις): Nα ανήκει στην κατηγορία Α/η (Συνδετικά αστάρια). Οριακή Τιµή ΠΟΕ Ευρωπαϊκής Ένωσης : 50 gr/lt (2007) και 30 gr/lt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Το προϊόν να περιέχει κατά µέγιστο 28g/l ΠΟΕ.</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Αποχρώσεις - συσκευασία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Χρώµα διαφανές, λευκό ή υποκίτρινο, ώστε να φαίνονται οι επιφάνειες που έχουν ασταρωθεί.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διατίθεται σε συσκευασίες (δοχεία) των 1lt, 5 lt και 10 lt.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Τύπος : Έγχρωµο µικρονιζέ σιλικονούχο ακρυλικό αστάρι νερού ( µίγµα ακρυλικών ρητινών) Πυκνότητα: 1.02 ± 0.04 gr/ml,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κ.β. : 20 ± 2 %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κ.ό.: 19 ± 2 %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Ph: 7.50 – 8.50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Αντοχή σε διαλύτες (υδατικό διάλυµα NaOH 5% κ.β. ) : Να µην παρατηρείται αλλοίωση του υµένα Αντοχή στα αλκάλια : Εξαιρετική Πρόσφυση ( pull off, σε τσιµεντόπλακα) : ≥ 2 N/mm2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Πρόσφυση ( pull off, σύστηµα πλαστικών χρωµάτων) : ≥ 2 N/mm2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Πρόσφυση ( pull off, σύστηµα ακρυλικών χρωµάτων) : ≥ 2 N/mm2 Πρόσφυση cross-cut, σε τσιµεντόπλακα : ≥ 2 N/mm2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Πρόσφυση cross-cut, σύστηµα πλαστικών χρωµάτων : 0-1 (Εξαιρετική)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Πρόσφυση cross-cut, σύστηµα ακρυλικών χρωµάτων : 0-1 (Εξαιρετική) Απόδοση Περίπου 10-15 m2 ανά στρώση ανάλογα µε την απορροφητικότητα της επιφάνειας και το ποσοστό αραίωσης.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Τεχνικές Προδιαγραφές 4 </w:t>
      </w:r>
    </w:p>
    <w:p>
      <w:pPr>
        <w:pStyle w:val="Normal"/>
        <w:spacing w:lineRule="atLeast" w:line="100" w:before="0" w:after="0"/>
        <w:jc w:val="both"/>
        <w:rPr>
          <w:rFonts w:ascii="Calibri" w:hAnsi="Calibri"/>
          <w:b/>
          <w:b/>
          <w:bCs/>
        </w:rPr>
      </w:pPr>
      <w:r>
        <w:rPr>
          <w:rFonts w:eastAsia="LucidaSansUnicode" w:cs="Arial"/>
          <w:b/>
          <w:bCs/>
          <w:sz w:val="24"/>
          <w:szCs w:val="24"/>
        </w:rPr>
        <w:t xml:space="preserve">3. ΒΑΣΙΚΑ ΠΛΑΣΤΙΚΑ ∆ΙΑΦΟΡΩΝ ΧΡΩΜΑΤΩΝ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(για εσωτερικές και εξωτερικές επιφάνειες) Βασικά πλαστικά χρώµατα.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Εφαρµόζονται σε εξωτερικές και εσωτερικές επιφάνειες από σοβά, µπετόν, κ.λ.π. και χρησιµοποιούνται για τον χρωµατισµό των λευκών πλαστικών και ακρυλικών χρωµάτων και την δηµιουργία σύνθετων αποχρώσεων.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Αποχρώσεις - συσκευασία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διατίθενται στις εξής βασικές αποχρώσεις : κίτρινο, κόκκινο, µπλε, ώχρα, κεραµιδί, καφέ, µαύρο, πράσινο.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διατίθενται σε συσκευασίες (δοχεία) των 75 ml.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ΤΕΧΝΙΚΑ ΧΑΡΑΚΤΗΡΙΣΤΙΚΑ Ρητίνη : ∆ιασπορά µε βάση ακρυλικές ρητίνες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Πυκνότητα : 1.39 ± 0.08 gr/ml, ανάλογα µε την απόχρωση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κ.β.: 65 ± 3 %, ανάλογα µε την απόχρωση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κ.ό.: 49 ± 6 %, ανάλογα µε την απόχρωση pH: 8,4 ± 1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Τα ειδικά πιγµέντα που χρησιµοποιούνται να προσδίδουν στην τελικές αποχρώσεις µεγάλες αντοχές στα αλκάλια, την ηλιακή ακτινοβολία και τον χρόνο.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ενσωµατώνονται εύκολα σε όλα τα πλαστικά και ακρυλικά χρώµατα και να χαρακτηρίζονται από µεγάλη χρωστική δύναµη.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Οι αποχρώσεις που προκύπτουν να έχουν µεγάλες αντοχές στην ηλιακή ακτινοβολία και τον χρόνο </w:t>
      </w:r>
    </w:p>
    <w:p>
      <w:pPr>
        <w:pStyle w:val="Normal"/>
        <w:spacing w:lineRule="atLeast" w:line="100" w:before="0" w:after="0"/>
        <w:jc w:val="both"/>
        <w:rPr>
          <w:rFonts w:eastAsia="LucidaSansUnicode" w:cs="Arial"/>
          <w:sz w:val="24"/>
          <w:szCs w:val="24"/>
        </w:rPr>
      </w:pPr>
      <w:r>
        <w:rPr>
          <w:rFonts w:eastAsia="LucidaSansUnicode" w:cs="Arial"/>
          <w:sz w:val="24"/>
          <w:szCs w:val="24"/>
        </w:rPr>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bCs/>
          <w:sz w:val="24"/>
          <w:szCs w:val="24"/>
        </w:rPr>
        <w:t>4. ΑΚΡΥΛΙΚΟ ΧΡΩΜΑ (100%) ΓΙΑ ΕΞΩΤΕΡΙΚΟΥΣ ΧΩΡΟΥΣ</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Ακρυλικό χρώµα (100%) για εξωτερική χρήση.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Εφαρµόζεται σε κάθε είδους νέα ή παλαιά επιφάνεια από σοβά, µπετόν, κ.λ.π.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Πρέπει να προσφέρει προστασία και αντοχή στις δυσµενείς καιρικές συνθήκες (ήλιο, βροχή και ατµοσφαιρική ρύπανση) και µεγάλη διάρκεια ζωής.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είναι πιστοποιηµένο ψυχρό χρώµα, να έχει υψηλή τιµή και υψηλό δείκτη ανακλαστικότητας στην ηλιακή ακτινοβολία (SR) και (SRI) αντίστοιχα και υψηλό συντελεστή εκποµπής (ε), ώστε να συνεισφέρει στην εξοικονόµηση ενέργειας του κτιρίου όπου εφαρµόζεται.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ΠΟΕ (Πτητικές Οργανικές Ενώσεις): Nα ανήκει στην κατηγορία Α/γ (χρώµατα εξωτερικών τοίχων). Οριακή Τιµή ΠΟΕ Ευρωπαϊκής Ένωσης : 75 gr/lt (2007) και 40 gr/lt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Το προϊόν να περιέχει κατά µέγιστο 18g/l ΠΟΕ.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Αποχρώσεις - συσκευασία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διατίθεται σε λευκό χρώµα σε συσκευασίες των 3,00 lt και 10,00 lt (σύµφωνα µε την επιλογή της υπηρεσίας).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υπάρχει δυνατότητα ανάµιξης µε βασικά χρώµατα για την επίτευξη οποιασδήποτε επιθυµητής απόχρωσης.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Τύπος : 100 % Ακρυλικό χρώµα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Ρητίνη: Ακρυλική ∆ιασπορά Πυκνότητα (λευκό ) : 1.46 ± 0.05 gr/ml,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κ.β. : 61 ± 2.50 %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κ.ό.: 43 ± 3 % Ph: 8.41 ± 1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Καλυπτικότητα για SR 20 m2/Lt: CR 90 ± 1%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είκτης λευκότητας: ≥ 85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είκτης κιτρινίσµατος: ≤ 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Αντοχή σε εξωτερικές συνθήκες: Εξαιρετική, να µην παρατηρείται αλλοίωση του φιλµ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Επιταχυνόµενη γήρανση µε ακτινοβολία UV: 2000 h: να µην παρατηρείται αλλοίωση του φιλµ Τεχνικές Προδιαγραφές 6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ιαπερατότητα υδρατµών (SD ) : 0.190 ± 0.004 m (κλάση ΙΙ)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ιαπερατότητα CO2 (SD ): Κατάλληλο για προστασία του τσιµέντου από την ενανθράκωση Συντελεστής ανακλαστικότητας στην ηλιακή ακτινοβολία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(SR) : 0,85 (λευκό) ∆είκτης ανακλαστικότητας στην ηλιακή ακτινοβολία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(SRI) : 107 (Λευκό) Συντελεστής εκποµπής στην υπέρυθρη ακτινοβολία (ε) : 0,89 (Λευκό)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Αντοχή σε πλύσιµο-τρίψιµο: &gt; 10.000 κινήσεις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Ικανότητα επαναχρωµατισµού : Να µην παρατηρείται καµία αλλοίωση της αρχικής στρώσης Στιλπνότητα 85°: 5 ± 2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Αντοχή σε διαλύτες (υδατικό διάλυµα NaOH 5% κ.β.): Nα µην παρατηρείται αλλοίωση του φιλµ Απόδοση Πάχος ξηρού φιλµ ανά στρώση : 30 ± 3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Προτεινόµενο συνολικό πάχος ξηρού φιλµ : 60 ± 6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 8 -12 m²/Lt για πλήρη κάλυψη (2 στρώσεις), ανάλογα µε την απορροφητικότητα της επιφάνειας και την απόχρωση. </w:t>
      </w:r>
    </w:p>
    <w:p>
      <w:pPr>
        <w:pStyle w:val="Normal"/>
        <w:spacing w:lineRule="atLeast" w:line="100" w:before="0" w:after="0"/>
        <w:jc w:val="both"/>
        <w:rPr>
          <w:rFonts w:eastAsia="LucidaSansUnicode" w:cs="Arial"/>
          <w:sz w:val="24"/>
          <w:szCs w:val="24"/>
        </w:rPr>
      </w:pPr>
      <w:r>
        <w:rPr>
          <w:rFonts w:eastAsia="LucidaSansUnicode" w:cs="Arial"/>
          <w:sz w:val="24"/>
          <w:szCs w:val="24"/>
        </w:rPr>
      </w:r>
    </w:p>
    <w:p>
      <w:pPr>
        <w:pStyle w:val="Normal"/>
        <w:spacing w:lineRule="atLeast" w:line="100" w:before="0" w:after="0"/>
        <w:jc w:val="both"/>
        <w:rPr>
          <w:rFonts w:ascii="Calibri" w:hAnsi="Calibri"/>
          <w:b/>
          <w:b/>
          <w:bCs/>
        </w:rPr>
      </w:pPr>
      <w:r>
        <w:rPr>
          <w:rFonts w:eastAsia="LucidaSansUnicode" w:cs="Arial"/>
          <w:b/>
          <w:bCs/>
          <w:sz w:val="24"/>
          <w:szCs w:val="24"/>
        </w:rPr>
        <w:t xml:space="preserve">5. ΒΕΡΝΙΚΙΑ ΝΕΡΟΥ (ΞΥΛΟΝΤΕΚΟΡ) ΓΙΑ ΞΥΛΑ, ΣΕ ∆ΙΑΦΟΡΕΣ ΦΥΣΙΚΕΣ ΑΠΟΧΡΩΣΕΙΣ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Άοσµο συντηρητικό και προστατευτικό βερνίκι ξύλου, βάσεως νερού, για εσωτερική και εξωτερική χρήση.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Εφαρµόζεται σε κάθε καινούργιο ή γυµνό ξύλο (πόρτες, παράθυρα, κουφώµατα, ταβάνια, ξυλεπενδύσεις, υπόστεγα, πέργκολες, περιφράξεις και κάθε ξύλινη επιφάνεια).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Πρέπει να διεισδύει βαθιά στο ξύλο, προστατεύοντάς το από τους µύκητες και τις µπλέ κηλίδες.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περιέχει επί πλέον φίλτρα UV για αποτελεσµατική προστασία από την υπεριώδη ηλιακή ακτινοβολία.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είναι υδατοαπωθητικό, να έχει µεγάλη ελαστικότητα και να µην ξεφλουδίζει, φουσκώνει ή σπάζει. Να αφήνει να φαίνονται τα νερά του ξύλου και να αναδεικνύεται η φυσική οµορφιά του.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στεγνώνει γρήγορα και να είναι πρακτικά άοσµο κατά την εφαρµογή του.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ΠΟΕ (Πτητικές Οργανικές Ενώσεις): Να ανήκει στην κατηγορία Α/η.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Οριακή Τιµή ΠΟΕ Ευρωπαϊκής Ένωσης για το προϊόν : 50 g/l (2007) και 30 g/l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Το έτοιµο προς χρήση προϊόν να περιέχει κατά µέγιστο 28 g/l ΠΟΕ.</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Απoχρώσεις – συσκευασία Να διατίθεται σε άχρωµο και σε φυσικές αποχρώσεις του ξύλου. Ενδεικτικά αποχρώσεις όπως : δρυς, µαόνι, όρεγκον, τικ, κερασιά, καρυδιά, κ.λ.π. ή σύµφωνα µε το διατιθέµενο χρωµατολόγιο.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Οι αποχρώσεις να αναµειγνύονται µεταξύ τους.</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Να διατίθεται σε συσκευασίες δοχείων των 0.75 - 2.50 Lt (ανάλογα µε την απόχρωση) ΤΕΧΝΙΚΑ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Τύπος : Συντηρητικό βερνίκι ξύλου (ρητίνες ακρυλικής διασποράς)</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Πυκνότητα : ( για το άχρωµο : 1.02 ± 0.02 gr/ml ) ( για τις αποχρώσεις : 1.03 ± 0.02 gr/ml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κ.β. : (για το άχρωµο : 19 ± 2.5 % ) ( για τις αποχρώσεις : 25.5 ± 3 %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κ.ό. : (για το άχρωµο : 17.5 ± 3 % ) ( για τις αποχρώσεις : 23 ± 3.5 % ) pH : 8.5 ± 0.5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Τεχνικές Προδιαγραφές 7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 14 - 20 m2/lt, ανά στρώση, ανάλογα µε το είδος και την απορροφητικότητα του ξύλου. </w:t>
      </w:r>
    </w:p>
    <w:p>
      <w:pPr>
        <w:pStyle w:val="Normal"/>
        <w:spacing w:lineRule="atLeast" w:line="100" w:before="0" w:after="0"/>
        <w:jc w:val="both"/>
        <w:rPr>
          <w:rFonts w:eastAsia="LucidaSansUnicode" w:cs="Arial"/>
          <w:sz w:val="24"/>
          <w:szCs w:val="24"/>
        </w:rPr>
      </w:pPr>
      <w:r>
        <w:rPr>
          <w:rFonts w:eastAsia="LucidaSansUnicode" w:cs="Arial"/>
          <w:sz w:val="24"/>
          <w:szCs w:val="24"/>
        </w:rPr>
      </w:r>
    </w:p>
    <w:p>
      <w:pPr>
        <w:pStyle w:val="Normal"/>
        <w:spacing w:lineRule="atLeast" w:line="100" w:before="0" w:after="0"/>
        <w:jc w:val="both"/>
        <w:rPr>
          <w:rFonts w:ascii="Calibri" w:hAnsi="Calibri"/>
          <w:b w:val="false"/>
          <w:b w:val="false"/>
          <w:bCs w:val="false"/>
        </w:rPr>
      </w:pPr>
      <w:r>
        <w:rPr>
          <w:rFonts w:eastAsia="LucidaSansUnicode" w:cs="Arial"/>
          <w:b/>
          <w:bCs/>
          <w:sz w:val="24"/>
          <w:szCs w:val="24"/>
        </w:rPr>
        <w:t>6 ΟΙΚΟΛΟΓΙΚΗ ΡΙΠΟΛΙΝΗ ΝΕΡΟΥ (ΛΕΥΚΟΥ ΧΡΩΜΑΤΟΣ)</w:t>
      </w:r>
      <w:r>
        <w:rPr>
          <w:rFonts w:eastAsia="LucidaSansUnicode" w:cs="Arial"/>
          <w:b w:val="false"/>
          <w:bCs w:val="false"/>
          <w:sz w:val="24"/>
          <w:szCs w:val="24"/>
        </w:rPr>
        <w:t xml:space="preserve">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Οικολογικό βερνικόχρωµα (ριπολίνη) νερού αλκυδικών ρητινών.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Εφαρµόζεται σε εσωτερικές και εξωτερικές επιφάνειες ξύλου ή µετάλλου.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Πρέπει να δουλεύεται εύκολα και να απλώνει οµοιόµορφα στην επιφάνεια, δίνοντας εξαιρετικό φινίρισµα.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έχει µεγάλη καλυπτικότητα, ισχυρή πρόσφυση, να προσφέρει µία ελαστική αλλά ανθεκτική επιφάνεια και να είναι κατάλληλο για την επαναβαφή παλαιών βερνικοχρωµάτων διαλύτου (ριπολίνες ή λαδοµπογιές).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στεγνώνει γρήγορα και να είναι πρακτικά άοσµο στην εφαρµογή.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είναι πιστοποιηµένο µε το οικολογικό σήµα (ecolabel).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προστατεύει το χρήστη και να µην ρυπαίνει το περιβάλλον.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µην περιέχει επικίνδυνες ουσίες (όπως βαρέα µέταλλα, ελεύθερη φορµαλδεϋδη, αρωµατικούς υδρογονάνθρακες, κ.λ.π.)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ΠΟΕ (Πτητικές Οργανικές Ενώσεις): Να ανήκει στην κατηγορία Α/δ Υ (Εσωτερικής &amp; εξωτερικής χρήσης για τελειώµατα και επενδύσεις από ξύλο και µέταλλο).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Οριακή Τιµή ΠΟΕ Ευρωπαϊκής Ένωσης : 150 g/l (2007) και 130 g/l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Το έτοιµο προς χρήση προϊόν και οι αποχρώσεις του να περιέχουν κατά µέγιστο 70 g/l ΠΟΕ. Απoχρώσεις - συσκευασία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διατίθεται στο λευκό χρώµα και στις τρεις µορφές (στιλπνή, σατινέ και µατ).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διατίθεται σε συσκευασίες δοχείων των : 0.75 lt, 2.5 Lt και 5 lt (ανάλογα µε την στιλπνότητα της επιφάνειας).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παρέχει στο ξύλο προληπτική και κατασταλτική προστασία από ξυλοφάγα έντοµα όπως : τερµίτες, σαράκι κ.λ.π.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παρέχει στο ξύλο προστασία από µύκητες που το καταστρέφουν (κυάνωση, σάπισµα, κ.λ.π.)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διεισδύει στο ξύλο χωρίς να σχηµατίζει υµένα, να µην φουσκώνει, σκάει ή ξεφλουδίζει.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περιέχει φίλτρα UV και να το προστατεύει από την υπεριώδη ακτινοβολία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Τύπος : Ακρυλικός στόκος ξύλου βάσεως νερού.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Αραίωση : έτοιµος προς χρήση Τεχνικές Προδιαγραφές 8</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ΤΕΧΝΙΚΑ ΧΑΡΑΚΤΗΡΙΣΤΙΚΑ 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Πάχος ξηρού φιλµ ανά στρώση : 23 ± 3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Προτεινόµενο συνολικό πάχος ξηρού φιλµ : 46 ± 6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 10 ± 1 m²/Lt για δύο (2) στρώσεις, ανάλογα µε την προετοιµασία της επιφάνειας. </w:t>
      </w:r>
    </w:p>
    <w:p>
      <w:pPr>
        <w:pStyle w:val="Normal"/>
        <w:spacing w:lineRule="atLeast" w:line="100" w:before="0" w:after="0"/>
        <w:jc w:val="both"/>
        <w:rPr>
          <w:rFonts w:eastAsia="LucidaSansUnicode" w:cs="Arial"/>
          <w:sz w:val="24"/>
          <w:szCs w:val="24"/>
        </w:rPr>
      </w:pPr>
      <w:r>
        <w:rPr>
          <w:rFonts w:eastAsia="LucidaSansUnicode" w:cs="Arial"/>
          <w:sz w:val="24"/>
          <w:szCs w:val="24"/>
        </w:rPr>
      </w:r>
    </w:p>
    <w:p>
      <w:pPr>
        <w:pStyle w:val="Normal"/>
        <w:spacing w:lineRule="atLeast" w:line="100" w:before="0" w:after="0"/>
        <w:jc w:val="both"/>
        <w:rPr>
          <w:rFonts w:ascii="Calibri" w:hAnsi="Calibri"/>
          <w:b/>
          <w:b/>
          <w:bCs/>
        </w:rPr>
      </w:pPr>
      <w:r>
        <w:rPr>
          <w:rFonts w:eastAsia="LucidaSansUnicode" w:cs="Arial"/>
          <w:b/>
          <w:bCs/>
          <w:sz w:val="24"/>
          <w:szCs w:val="24"/>
        </w:rPr>
        <w:t xml:space="preserve">7 ΒΕΡΝΙΚΟΧΡΩΜΑΤΑ (ΡΙΠΟΛΙΝΕΣ) ΝΕΡΟΥ ΣΕ ∆ΙΑΦΟΡΑ ΧΡΩΜΑΤΑ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Βερνικοχρώµατα (ριπολίνες) νερού αλκυδικών ρητινών.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Εφαρµόζονται σε εσωτερικές και εξωτερικές επιφάνειες ξύλου ή µετάλλου και χρησιµοποιούνται για την παραγωγή των επιθυµητών αποχρώσεων σε ανάµιξη µε την λευκή ριπολίνη νερού.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Πρέπει να δουλεύονται εύκολα και να απλώνουν οµοιόµορφα στην επιφάνεια, δίνοντας εξαιρετικό φινίρισµα.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έχουν µεγάλη καλυπτικότητα και να προσφέρουν µία ελαστική αλλά ανθεκτική επιφάνεια.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στεγνώνουν γρήγορα και να είναι πρακτικά άοσµα κατά την εφαρµογή.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Επίσης να µπορούν να εφαρµοστούν σε επιφάνειες ήδη βαµµένες µε βερνικόχρωµα διαλύτη.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ΠΟΕ (Πτητικές Οργανικές Ενώσεις): Να ανήκει στην κατηγορία Α/δ Υ (Εσωτερικής &amp; εξωτερικής χρήσης για τελειώµατα και επενδύσεις από ξύλο και µέταλλο).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Οριακή Τιµή ΠΟΕ Ευρωπαϊκής Ένωσης : 150 g/l (2007) και 130 g/l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Οι έτοιµες προς χρήση τελικές αποχρώσεις να περιέχουν κατά µέγιστο 50 g/l ΠΟΕ.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Απoχρώσεις - συσκευασία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διατίθενται σε διάφορες αποχρώσεις (βασικές ή σύµφωνα µε το διατιθέµενο χρωµατολόγιο) σε µορφή στιλπνή, σατινέ και µατ.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διατίθεται σε συσκευασίες δοχείων των 0.75 lt και 2.25 lt (ανάλογα µε την απόχρωση και την στιλπνότητα της επιφάνειας).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Τύπος : Βερνικόχρωµα νερού (τροποποιηµένες αλκυδικές ρητίνες) Πυκνότητα ( λευκό) : 1.26 ± 0.04 gr/ml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κ.β. (λευκό) : 49.5 ± 4.5 % (ανάλογα µε την παραλλαγή ως προς την στιλπνότητα)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κ.ό. (λευκό) : 38 ± 2 %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pH : 7 - 9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Καλυπτικότητα για SR 20 m2/Lt : CR 95 ± 1 %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είκτης λευκότητας: ≥ 70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w:t>
      </w:r>
      <w:r>
        <w:rPr>
          <w:rFonts w:eastAsia="LucidaSansUnicode" w:cs="Arial"/>
          <w:b w:val="false"/>
          <w:bCs w:val="false"/>
          <w:sz w:val="24"/>
          <w:szCs w:val="24"/>
        </w:rPr>
        <w:t xml:space="preserve">είκτης κιτρινίσµατος: ≤ 5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Στιλπνότητα : Gloss 20% : ≥ 74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Satinet 60% : 45 ± 10 Μat 85 % : ≤ 20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Σκληρότητα (konig) : 32 ± 8 sec, µετά από 7 ηµέρες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Αντοχή στο νερό : ΝΑΙ Επιταχυνόµενη γήρανση µε ακτινοβολία UV: 500 h: Να µην παρατηρείται αλλοίωση του φιλµ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Τεχνικές Προδιαγραφές 9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ΤΕΧΝΙΚΑ ΧΑΡΑΚΤΗΡΙΣΤΙΚΑ 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Πάχος ξηρού φιλµ ανά στρώση : 23 ± 3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Προτεινόµενο συνολικό πάχος ξηρού φιλµ : 46 ± 6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 9.5 ± 0.5 m²/Lt για δύο (2) στρώσεις, ανάλογα µε την προετοιµασία της επιφάνειας. </w:t>
      </w:r>
    </w:p>
    <w:p>
      <w:pPr>
        <w:pStyle w:val="Normal"/>
        <w:spacing w:lineRule="atLeast" w:line="100" w:before="0" w:after="0"/>
        <w:jc w:val="both"/>
        <w:rPr>
          <w:rFonts w:eastAsia="LucidaSansUnicode" w:cs="Arial"/>
          <w:sz w:val="24"/>
          <w:szCs w:val="24"/>
        </w:rPr>
      </w:pPr>
      <w:r>
        <w:rPr>
          <w:rFonts w:eastAsia="LucidaSansUnicode" w:cs="Arial"/>
          <w:sz w:val="24"/>
          <w:szCs w:val="24"/>
        </w:rPr>
      </w:r>
    </w:p>
    <w:p>
      <w:pPr>
        <w:pStyle w:val="Normal"/>
        <w:spacing w:lineRule="atLeast" w:line="100" w:before="0" w:after="0"/>
        <w:jc w:val="both"/>
        <w:rPr>
          <w:rFonts w:ascii="Calibri" w:hAnsi="Calibri"/>
          <w:b/>
          <w:b/>
          <w:bCs/>
        </w:rPr>
      </w:pPr>
      <w:r>
        <w:rPr>
          <w:rFonts w:eastAsia="LucidaSansUnicode" w:cs="Arial"/>
          <w:b/>
          <w:bCs/>
          <w:sz w:val="24"/>
          <w:szCs w:val="24"/>
        </w:rPr>
        <w:t xml:space="preserve">8 ΟΙΚΟΛΟΓΙΚΗ ΒΕΛΑΤΟΥΡΑ ΝΕΡΟΥ (για ξύλινες επιφάνειες)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Οικολογικό αστάρι βερνικοχρωµάτων νερού για ξύλινες επιφάνειες.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Εφαρµόζεται σε ξύλινες επιφάνειες που χρησιµοποιείται ως υπόστρωµα για τις ριπολίνες νερού. Πρέπει να δουλεύεται άνετα και να τρίβεται εύκολα χωρίς να αφήνει σηµάδια ή να στοµώνει το γυαλόχαρτο, να γεµίζει καλά τους πόρους του ξύλου, να καλύπτει αποτελεσµατικά τα λάδια και τις τανίνες από τους ρόζους του ξύλου.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έχει µεγάλη καλυπτικότητα, να εξασφαλίζει ισχυρή πρόσφυση για το τελικό χρώµα και να είναι πρακτικά άοσµη.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Επίσης να µπορεί να εφαρµοστεί και σε επιφάνειες βαµµένες µε βερνικοχρώµατα διαλύτη.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Πρέπει να είναι πιστοποιηµένο µε το οικολογικό σήµα (ecolabel).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προστατεύει τον χρήστη και να µη ρυπαίνει το περιβάλλον.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Να µην περιέχει επικίνδυνες ουσίες όπως : βαρέα µέταλλα, ελεύθερη φορµαλδεϋδη, αρωµατικούς υδρογονάνθρακες.</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ΠΟΕ (Πτητικές Οργανικές Ενώσεις): Να ανήκει στις κατηγορίες Α/δ Υ (Εσωτερικής και εξωτερικής χρήσης για τελειώµατα και επενδύσεις από ξύλο).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Οριακή Τιµή ΠΟΕ Ευρωπαϊκής Ένωσης : 150 gr/lt (2007) και 130 gr/lt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Το έτοιµο προς χρήση προϊόν να περιέχει κατά µέγιστο 30g/l ΠΟΕ.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Αποχρώσεις - συσκευασία Χρώµατος λευκού.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διατίθεται σε συσκευασίες (δοχεία) των 0.75 lt και των 2.5 lt.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Τύπος : Βερνικόχρωµα νερού (τροποποιηµένες αλκυδικές ρητίνες)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Πυκνότητα (λευκό) : Gloss Base A, B, C : 1.17 ± 0.05 gr/ml,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Satinet Base A, B, C : 1.20 ± 0.06 gr/ml,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Mat Base A, B, C : 1.22 ± 0.08 gr/ml,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κ.β. (λευκό) : Gloss Base A, B, C : 48 ± 3 % ,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Satinet Base A, B, C : 51 ± 4 %,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Mat Base A, B, C : 51.5 ± 3.5 %,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κ.ό. (λευκό) : Gloss Base A, B, C : 38.5 ± 2.5 % ,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Satinet Base A, B, C : 41 ± 4%,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Mat Base A, B, C : 41 ± 2 %, ανάλογα µε τη βάση.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pH : 7.6 ± 0.4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Στιλπνότητα : Gloss 20% : ≥ 75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Satinet 60% : 45 ± 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Μat 85 % : ≤ 20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Σκληρότητα (konig) : 28 ± 3 sec, µετά από 7 ηµέρες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Αντοχή στο νερό : ΝΑΙ Επιταχυνόµενη γήρανση µε ακτινοβολία UV: 500 h: Να µην παρατηρείται αλλοίωση του φιλµ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Τεχνικές Προδιαγραφές 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ΤΕΧΝΙΚΑ ΧΑΡΑΚΤΗΡΙΣΤΙΚΑ 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Πάχος ξηρού φιλµ ανά στρώση : 35 ± 5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 11.5 ± 1 m²/Lt ανά στρώση, ανάλογα µε την απορροφητικότητα της επιφάνειας. </w:t>
      </w:r>
    </w:p>
    <w:p>
      <w:pPr>
        <w:pStyle w:val="Normal"/>
        <w:spacing w:lineRule="atLeast" w:line="100" w:before="0" w:after="0"/>
        <w:jc w:val="both"/>
        <w:rPr>
          <w:rFonts w:eastAsia="LucidaSansUnicode" w:cs="Arial"/>
          <w:sz w:val="24"/>
          <w:szCs w:val="24"/>
        </w:rPr>
      </w:pPr>
      <w:r>
        <w:rPr>
          <w:rFonts w:eastAsia="LucidaSansUnicode" w:cs="Arial"/>
          <w:sz w:val="24"/>
          <w:szCs w:val="24"/>
        </w:rPr>
      </w:r>
    </w:p>
    <w:p>
      <w:pPr>
        <w:pStyle w:val="Normal"/>
        <w:spacing w:lineRule="atLeast" w:line="100" w:before="0" w:after="0"/>
        <w:jc w:val="both"/>
        <w:rPr>
          <w:rFonts w:ascii="Calibri" w:hAnsi="Calibri"/>
          <w:b/>
          <w:b/>
          <w:bCs/>
        </w:rPr>
      </w:pPr>
      <w:r>
        <w:rPr>
          <w:rFonts w:eastAsia="LucidaSansUnicode" w:cs="Arial"/>
          <w:b/>
          <w:bCs/>
          <w:sz w:val="24"/>
          <w:szCs w:val="24"/>
        </w:rPr>
        <w:t xml:space="preserve"> </w:t>
      </w:r>
      <w:r>
        <w:rPr>
          <w:rFonts w:eastAsia="LucidaSansUnicode" w:cs="Arial"/>
          <w:b/>
          <w:bCs/>
          <w:sz w:val="24"/>
          <w:szCs w:val="24"/>
        </w:rPr>
        <w:t xml:space="preserve">9 ΒΕΡΝΙΚΟΧΡΩΜΑ – ΕΙ∆ΙΚΟ ΑΝΤΙΣΚΩΡΙΑΚΟ ΧΡΩΜΑ ΜΕ ΑΣΤΑΡΙ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Ειδικό βερνικόχρωµα, βάσεως ειδικά τροποποιηµένων αλκυδικών ρητινών, για τη βαφή και προστασία µεταλλικών επιφανειών εσωτερικής και εξωτερικής χρήσης.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Εφαρµόζεται κατευθείαν σε σκουριασµένες µεταλλικές επιφάνειες, χωρίς προεργασία (εφαρµογή αντισκωριακού ασταριού ή τρίψιµο).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Πρέπει να έχει ισχυρή πρόσφυση, µεγάλη σκληρότητα και πολύ καλό άπλωµα.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προσφέρει ισχυρή αντιδιαβρωτική προστασία των νέων ή παλιών µεταλλικών επιφανειών, να διατηρεί την Τύπος : 100 % οικολογικό αστάρι βερνικοχρωµάτων νερού για ξύλινες επιφάνειες Πυκνότητα : 1.48 ± 0.04 gr/ml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κ.β. : 60 ± 3 %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Στερεά κ.ό. : 45 ± 3 % pH : 8.9 ± 0.5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Καλυπτικότητα για SR 20 m2/Lt : CR : 95 ± 0.5 %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Στιλπνότητα 85°: 6 ± 2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Τύπος : Ακρυλικός στόκος νερού.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Αραίωση : έτοιµος προς χρήση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Στέγνωµα : στην αφή σε 1 ώρα, στο τρίψιµο µετά από 3 ώρες (ανάλογα µε τις καιρικές συνθήκες Τεχνικές Προδιαγραφές 11 στιλπνότητα και τις αποχρώσεις του αναλλοίωτες για µεγάλο χρονικό διάστηµα.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µην περιέχει µόλυβδο και χρωµικά.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ΠΟΕ (Πτητικές Οργανικές Ενώσεις): Να ανήκει στην κατηγορία στην κατηγορία Α/θ ∆ (ειδικά επιχρίσµατα ενός συστατικού µε αντιδιαβρωτικό φινίρισµα) : Οριακή Τιµή ΠΟΕ της Ευρωπαϊκής Ένωσης 600 gr/lt (2007) και 500 gr/lt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περιέχει κατά µέγιστον 499 g/l ΠΟΕ. Αποχρώσεις Λευκό, µαύρο και στις βασικές αποχρώσεις. Όλες οι αποχρώσεις να διατίθενται σε συσκευασία δοχείων των 0.75 lt ενώ η λευκή, η µαύρη και η κυπαρισσί να διατίθενται και σε δοχεία των 2.5 lt.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ΤΕΧΝΙΚΑ ΧΑΡΑΚΤΗΡΙΣΤΙΚΑ ΠΟΙΟΤΙΚΑ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Πάχος ξηρού φιλµ ανά στρώση : 45 ± 5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Προτεινόµενο συνολικό πάχος ξηρού φιλµ : 95 ± 5 µm.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 10 ± 1.5 m²/Lt ανά στρώση. </w:t>
      </w:r>
    </w:p>
    <w:p>
      <w:pPr>
        <w:pStyle w:val="Normal"/>
        <w:spacing w:lineRule="atLeast" w:line="100" w:before="0" w:after="0"/>
        <w:jc w:val="both"/>
        <w:rPr>
          <w:rFonts w:eastAsia="LucidaSansUnicode" w:cs="Arial"/>
          <w:sz w:val="24"/>
          <w:szCs w:val="24"/>
        </w:rPr>
      </w:pPr>
      <w:r>
        <w:rPr>
          <w:rFonts w:eastAsia="LucidaSansUnicode" w:cs="Arial"/>
          <w:sz w:val="24"/>
          <w:szCs w:val="24"/>
        </w:rPr>
      </w:r>
    </w:p>
    <w:p>
      <w:pPr>
        <w:pStyle w:val="Normal"/>
        <w:spacing w:lineRule="atLeast" w:line="100" w:before="0" w:after="0"/>
        <w:jc w:val="both"/>
        <w:rPr>
          <w:rFonts w:ascii="Calibri" w:hAnsi="Calibri"/>
          <w:b/>
          <w:b/>
          <w:bCs/>
        </w:rPr>
      </w:pPr>
      <w:r>
        <w:rPr>
          <w:rFonts w:eastAsia="LucidaSansUnicode" w:cs="Arial"/>
          <w:b/>
          <w:bCs/>
          <w:sz w:val="24"/>
          <w:szCs w:val="24"/>
        </w:rPr>
        <w:t xml:space="preserve">10. ΑΣΤΑΡΙ ΑΛΟΥΜΙΝΙΟΥ &amp; ΓΑΛΒΑΝΙΣΜΕΝΩΝ ΕΠΙΦΑΝΕΙΩΝ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Ειδικό υπόστρωµα (αστάρι) για µη σιδηρούχες επιφάνειες (αλουµίνιο, γαλβανιζέ λαµαρίνες, ανοξείδωτο χάλυβα, χαλκό, κ.λ.π.).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Εφαρµόζεται σε µία λεπτή στρώση και δηµιουργεί άριστες συνθήκες πρόσφυσης για το σύστηµα βαφής που ακολουθεί.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Πρέπει να παρέχει αντισκωριακή προστασία, να στεγνώνει γρήγορα, να έχει µεγάλη ελαστικότητα και να εµφανίζει πολύ καλό άπλωµα.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ΠΟΕ (Πτητικές Οργανικές Ενώσεις): Να ανήκει στην κατηγορία στην κατηγορία Α/θ (ειδικά επιχρίσµατα ενός συστατικού) : Οριακή Τιµή ΠΟΕ της Ευρωπαϊκής Ένωσης 600 gr/lt (2007) και 500 gr/lt (2010)].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Να περιέχει κατά µέγιστον 499 g/l ΠΟΕ. Αποχρώσεις Γκρί, υποκίτρινο ή οποιαδήποτε άλλη απόχρωση, έτσι ώστε να είναι εµφανείς οι επιφάνειες που έχουν ασταρωθεί.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ΤΕΧΝΙΚΑ ΧΑΡΑΚΤΗΡΙΣΤΙΚΑ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Απόδοση Περίπου 12 m2 ανά λίτρο στις κατάλληλα προετοιµασµένες επιφάνειες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 </w:t>
      </w:r>
      <w:r>
        <w:rPr>
          <w:rFonts w:eastAsia="LucidaSansUnicode" w:cs="Arial"/>
          <w:b w:val="false"/>
          <w:bCs w:val="false"/>
          <w:sz w:val="24"/>
          <w:szCs w:val="24"/>
        </w:rPr>
        <w:t xml:space="preserve">Τύπος : Έτοιµος πολυεστερικός σιδηρόστοκος δύο συστατικών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Μέθοδος εφαρµογής : Σπάτουλα Αραίωση : έτοιµος για χρήση.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Προστίθεται στο πρώτο συστατικό η κατάλληλη ποσότητα σκληρυντικού (σύµφωνα µε την συνιστώµενη αναλογία του κατασκευαστή) και αναµειγνύεται καλά.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Η σκλήρυνση του τελικού υλικού επέρχεται περίπου µετά από 5-10 λεπτά από την προσθήκη του σκληρυντικού </w:t>
      </w:r>
    </w:p>
    <w:p>
      <w:pPr>
        <w:pStyle w:val="Normal"/>
        <w:spacing w:lineRule="atLeast" w:line="100" w:before="0" w:after="0"/>
        <w:jc w:val="both"/>
        <w:rPr>
          <w:rFonts w:ascii="Calibri" w:hAnsi="Calibri"/>
          <w:b w:val="false"/>
          <w:b w:val="false"/>
          <w:bCs w:val="false"/>
        </w:rPr>
      </w:pPr>
      <w:r>
        <w:rPr>
          <w:rFonts w:eastAsia="LucidaSansUnicode" w:cs="Arial"/>
          <w:b w:val="false"/>
          <w:bCs w:val="false"/>
          <w:sz w:val="24"/>
          <w:szCs w:val="24"/>
        </w:rPr>
        <w:t xml:space="preserve">Τύπος : Υπόστρωµα βάσεως ειδικών συνθετικών ρητινών Ειδικό βάρος : 1.25 ± 0.02 gr / cm3 Αραίωση : µε διαλυτικό περίπου έως 3% </w:t>
      </w:r>
    </w:p>
    <w:p>
      <w:pPr>
        <w:pStyle w:val="Normal"/>
        <w:spacing w:lineRule="atLeast" w:line="100" w:before="0" w:after="0"/>
        <w:jc w:val="both"/>
        <w:rPr>
          <w:rFonts w:ascii="Arial" w:hAnsi="Arial" w:eastAsia="LucidaSansUnicode" w:cs="Arial"/>
          <w:sz w:val="24"/>
          <w:szCs w:val="24"/>
        </w:rPr>
      </w:pPr>
      <w:r>
        <w:rPr>
          <w:rFonts w:eastAsia="LucidaSansUnicode" w:cs="Arial"/>
          <w:b w:val="false"/>
          <w:bCs w:val="false"/>
          <w:sz w:val="24"/>
          <w:szCs w:val="24"/>
        </w:rPr>
        <w:t xml:space="preserve">Απόδοση Περίπου 12 m2 ανά λίτρο στις κατάλληλα προετοιµασµένες επιφάνειες </w:t>
      </w:r>
    </w:p>
    <w:p>
      <w:pPr>
        <w:pStyle w:val="Normal"/>
        <w:spacing w:lineRule="atLeast" w:line="100" w:before="0" w:after="0"/>
        <w:rPr/>
      </w:pPr>
      <w:r>
        <w:rPr>
          <w:rFonts w:eastAsia="LucidaSansUnicode" w:cs="LucidaSansUnicode"/>
          <w:color w:val="FFFFFF"/>
          <w:sz w:val="24"/>
          <w:szCs w:val="24"/>
        </w:rPr>
        <w:t>ΑΜΑΣ ΠΡΟΣΟΤΣΑ</w:t>
      </w:r>
    </w:p>
    <w:p>
      <w:pPr>
        <w:pStyle w:val="Normal"/>
        <w:spacing w:lineRule="atLeast" w:line="100" w:before="0" w:after="0"/>
        <w:jc w:val="both"/>
        <w:rPr/>
      </w:pPr>
      <w:r>
        <w:rPr>
          <w:rFonts w:eastAsia="LucidaSansUnicode" w:cs="Arial"/>
          <w:sz w:val="24"/>
          <w:szCs w:val="24"/>
        </w:rPr>
        <w:t xml:space="preserve">                                                                </w:t>
      </w:r>
      <w:r>
        <w:rPr>
          <w:rFonts w:eastAsia="LucidaSansUnicode" w:cs="Arial"/>
          <w:sz w:val="24"/>
          <w:szCs w:val="24"/>
        </w:rPr>
        <w:t xml:space="preserve">ΛΙΒΑΔΕΙΑ  </w:t>
      </w:r>
      <w:r>
        <w:rPr>
          <w:rFonts w:eastAsia="LucidaSansUnicode" w:cs="Arial"/>
          <w:sz w:val="24"/>
          <w:szCs w:val="24"/>
          <w:lang w:val="el-GR"/>
        </w:rPr>
        <w:t>06</w:t>
      </w:r>
      <w:r>
        <w:rPr>
          <w:rFonts w:eastAsia="LucidaSansUnicode" w:cs="Arial"/>
          <w:sz w:val="24"/>
          <w:szCs w:val="24"/>
        </w:rPr>
        <w:t>/</w:t>
      </w:r>
      <w:r>
        <w:rPr>
          <w:rFonts w:eastAsia="LucidaSansUnicode" w:cs="Arial"/>
          <w:sz w:val="24"/>
          <w:szCs w:val="24"/>
          <w:lang w:val="en-US"/>
        </w:rPr>
        <w:t>0</w:t>
      </w:r>
      <w:r>
        <w:rPr>
          <w:rFonts w:eastAsia="LucidaSansUnicode" w:cs="Arial"/>
          <w:sz w:val="24"/>
          <w:szCs w:val="24"/>
          <w:lang w:val="el-GR"/>
        </w:rPr>
        <w:t>3</w:t>
      </w:r>
      <w:r>
        <w:rPr>
          <w:rFonts w:eastAsia="LucidaSansUnicode" w:cs="Arial"/>
          <w:sz w:val="24"/>
          <w:szCs w:val="24"/>
        </w:rPr>
        <w:t>/</w:t>
      </w:r>
      <w:r>
        <w:rPr>
          <w:rFonts w:eastAsia="LucidaSansUnicode" w:cs="Arial"/>
          <w:sz w:val="24"/>
          <w:szCs w:val="24"/>
          <w:lang w:val="en-US"/>
        </w:rPr>
        <w:t>20</w:t>
      </w:r>
      <w:r>
        <w:rPr>
          <w:rFonts w:eastAsia="LucidaSansUnicode" w:cs="Arial"/>
          <w:sz w:val="24"/>
          <w:szCs w:val="24"/>
        </w:rPr>
        <w:t>1</w:t>
      </w:r>
      <w:r>
        <w:rPr>
          <w:rFonts w:eastAsia="LucidaSansUnicode" w:cs="Arial"/>
          <w:sz w:val="24"/>
          <w:szCs w:val="24"/>
          <w:lang w:val="el-GR"/>
        </w:rPr>
        <w:t>7</w:t>
      </w:r>
    </w:p>
    <w:p>
      <w:pPr>
        <w:pStyle w:val="Normal"/>
        <w:spacing w:lineRule="atLeast" w:line="100" w:before="0" w:after="0"/>
        <w:jc w:val="both"/>
        <w:rPr>
          <w:rFonts w:ascii="Calibri" w:hAnsi="Calibri" w:eastAsia="LucidaSansUnicode" w:cs="Arial"/>
          <w:sz w:val="24"/>
          <w:szCs w:val="24"/>
        </w:rPr>
      </w:pPr>
      <w:r>
        <w:rPr>
          <w:rFonts w:eastAsia="LucidaSansUnicode" w:cs="Arial"/>
          <w:sz w:val="24"/>
          <w:szCs w:val="24"/>
        </w:rPr>
      </w:r>
    </w:p>
    <w:p>
      <w:pPr>
        <w:pStyle w:val="Normal"/>
        <w:spacing w:lineRule="atLeast" w:line="100" w:before="0" w:after="0"/>
        <w:jc w:val="both"/>
        <w:rPr>
          <w:rFonts w:ascii="Calibri" w:hAnsi="Calibri"/>
          <w:sz w:val="24"/>
          <w:szCs w:val="24"/>
        </w:rPr>
      </w:pPr>
      <w:r>
        <w:rPr>
          <w:rFonts w:eastAsia="LucidaSansUnicode" w:cs="Arial"/>
          <w:sz w:val="24"/>
          <w:szCs w:val="24"/>
        </w:rPr>
        <w:t xml:space="preserve">         </w:t>
      </w:r>
      <w:r>
        <w:rPr>
          <w:rFonts w:eastAsia="LucidaSansUnicode" w:cs="Arial"/>
          <w:sz w:val="24"/>
          <w:szCs w:val="24"/>
        </w:rPr>
        <w:t>Ο ΣΥΝΤΑΞΑΣ                                                                                           ΘΕΩΡΗΘΗΚΕ</w:t>
      </w:r>
    </w:p>
    <w:p>
      <w:pPr>
        <w:pStyle w:val="Normal"/>
        <w:spacing w:lineRule="atLeast" w:line="100" w:before="0" w:after="0"/>
        <w:jc w:val="both"/>
        <w:rPr>
          <w:rFonts w:ascii="Calibri" w:hAnsi="Calibri" w:eastAsia="LucidaSansUnicode" w:cs="Arial"/>
          <w:sz w:val="24"/>
          <w:szCs w:val="24"/>
        </w:rPr>
      </w:pPr>
      <w:r>
        <w:rPr>
          <w:rFonts w:eastAsia="LucidaSansUnicode" w:cs="Arial"/>
          <w:sz w:val="24"/>
          <w:szCs w:val="24"/>
        </w:rPr>
      </w:r>
    </w:p>
    <w:p>
      <w:pPr>
        <w:pStyle w:val="Normal"/>
        <w:spacing w:before="0" w:after="200"/>
        <w:rPr/>
      </w:pPr>
      <w:r>
        <w:rPr>
          <w:rFonts w:eastAsia="LucidaSansUnicode" w:cs="Arial"/>
          <w:b/>
          <w:bCs/>
          <w:sz w:val="24"/>
          <w:szCs w:val="24"/>
        </w:rPr>
        <w:t xml:space="preserve">ΜΕΛΙΣΣΑΡΗΣ ΙΩΑΝΝΗΣ                                                                       ΝΤΑΛΙΑΝΗΣ ΧΡΗΣΤΟΣ                       </w:t>
      </w:r>
      <w:r>
        <w:rPr>
          <w:rFonts w:eastAsia="LucidaSansUnicode" w:cs="Arial"/>
          <w:sz w:val="24"/>
          <w:szCs w:val="24"/>
        </w:rPr>
        <w:t xml:space="preserve">                                                                 Πολιτικός Μηχανικός Τ.Ε.                                                                  Τοπογράφος Μηχανικός</w:t>
      </w:r>
    </w:p>
    <w:sectPr>
      <w:type w:val="nextPage"/>
      <w:pgSz w:w="11906" w:h="16838"/>
      <w:pgMar w:left="510" w:right="626" w:header="0" w:top="540" w:footer="0" w:bottom="368"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imes New Roman">
    <w:charset w:val="a1"/>
    <w:family w:val="roman"/>
    <w:pitch w:val="variable"/>
  </w:font>
  <w:font w:name="Tahoma">
    <w:charset w:val="a1"/>
    <w:family w:val="roman"/>
    <w:pitch w:val="variable"/>
  </w:font>
  <w:font w:name="Arial">
    <w:charset w:val="a1"/>
    <w:family w:val="roman"/>
    <w:pitch w:val="variable"/>
  </w:font>
  <w:font w:name="Candara">
    <w:charset w:val="a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72"/>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Mangal"/>
        <w:sz w:val="24"/>
        <w:szCs w:val="24"/>
        <w:lang w:val="el-GR"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SimSun" w:cs=""/>
      <w:color w:val="00000A"/>
      <w:sz w:val="22"/>
      <w:szCs w:val="22"/>
      <w:lang w:val="el-GR" w:eastAsia="el-GR" w:bidi="ar-SA"/>
    </w:rPr>
  </w:style>
  <w:style w:type="paragraph" w:styleId="3">
    <w:name w:val="Heading 3"/>
    <w:basedOn w:val="Normal"/>
    <w:qFormat/>
    <w:pPr>
      <w:keepNext/>
      <w:spacing w:lineRule="atLeast" w:line="100" w:before="0" w:after="0"/>
    </w:pPr>
    <w:rPr>
      <w:rFonts w:ascii="Times New Roman" w:hAnsi="Times New Roman" w:eastAsia="Times New Roman" w:cs="Times New Roman"/>
      <w:b/>
      <w:sz w:val="24"/>
      <w:szCs w:val="20"/>
    </w:rPr>
  </w:style>
  <w:style w:type="character" w:styleId="DefaultParagraphFont">
    <w:name w:val="Default Paragraph Font"/>
    <w:qFormat/>
    <w:rPr/>
  </w:style>
  <w:style w:type="character" w:styleId="3Char">
    <w:name w:val="Επικεφαλίδα 3 Char"/>
    <w:basedOn w:val="DefaultParagraphFont"/>
    <w:qFormat/>
    <w:rPr>
      <w:rFonts w:ascii="Times New Roman" w:hAnsi="Times New Roman" w:eastAsia="Times New Roman" w:cs="Times New Roman"/>
      <w:b/>
      <w:sz w:val="24"/>
      <w:szCs w:val="20"/>
    </w:rPr>
  </w:style>
  <w:style w:type="character" w:styleId="Char">
    <w:name w:val="Κείμενο πλαισίου Char"/>
    <w:basedOn w:val="DefaultParagraphFont"/>
    <w:qFormat/>
    <w:rPr>
      <w:rFonts w:ascii="Tahoma" w:hAnsi="Tahoma" w:cs="Tahoma"/>
      <w:sz w:val="16"/>
      <w:szCs w:val="16"/>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ascii="Calibri" w:hAnsi="Calibri" w:cs="OpenSymbol"/>
      <w:sz w:val="20"/>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ascii="Calibri" w:hAnsi="Calibri" w:cs="OpenSymbol"/>
      <w:sz w:val="20"/>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ascii="Calibri" w:hAnsi="Calibri" w:cs="OpenSymbol"/>
      <w:sz w:val="20"/>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ascii="Calibri" w:hAnsi="Calibri" w:cs="OpenSymbol"/>
      <w:sz w:val="20"/>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paragraph" w:styleId="Style13">
    <w:name w:val="Επικεφαλίδα"/>
    <w:basedOn w:val="Normal"/>
    <w:next w:val="Style14"/>
    <w:qFormat/>
    <w:pPr>
      <w:keepNext/>
      <w:spacing w:before="240" w:after="120"/>
    </w:pPr>
    <w:rPr>
      <w:rFonts w:ascii="Arial" w:hAnsi="Arial" w:eastAsia="Microsoft YaHei" w:cs="Mangal"/>
      <w:sz w:val="28"/>
      <w:szCs w:val="28"/>
    </w:rPr>
  </w:style>
  <w:style w:type="paragraph" w:styleId="Style14">
    <w:name w:val="Body Text"/>
    <w:basedOn w:val="Normal"/>
    <w:pPr>
      <w:spacing w:before="0" w:after="120"/>
    </w:pPr>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Mangal"/>
      <w:i/>
      <w:iCs/>
      <w:sz w:val="24"/>
      <w:szCs w:val="24"/>
    </w:rPr>
  </w:style>
  <w:style w:type="paragraph" w:styleId="Style17">
    <w:name w:val="Ευρετήριο"/>
    <w:basedOn w:val="Normal"/>
    <w:qFormat/>
    <w:pPr>
      <w:suppressLineNumbers/>
    </w:pPr>
    <w:rPr>
      <w:rFonts w:cs="Mangal"/>
    </w:rPr>
  </w:style>
  <w:style w:type="paragraph" w:styleId="BalloonText">
    <w:name w:val="Balloon Text"/>
    <w:basedOn w:val="Normal"/>
    <w:qFormat/>
    <w:pPr>
      <w:spacing w:lineRule="atLeast" w:line="100" w:before="0" w:after="0"/>
    </w:pPr>
    <w:rPr>
      <w:rFonts w:ascii="Tahoma" w:hAnsi="Tahoma" w:cs="Tahoma"/>
      <w:sz w:val="16"/>
      <w:szCs w:val="16"/>
    </w:rPr>
  </w:style>
  <w:style w:type="paragraph" w:styleId="Para1">
    <w:name w:val="para-1"/>
    <w:basedOn w:val="Normal"/>
    <w:qFormat/>
    <w:pPr>
      <w:tabs>
        <w:tab w:val="left" w:pos="1021" w:leader="none"/>
        <w:tab w:val="left" w:pos="1588" w:leader="none"/>
      </w:tabs>
      <w:spacing w:lineRule="atLeast" w:line="100" w:before="0" w:after="0"/>
      <w:ind w:left="1021" w:right="0" w:hanging="1021"/>
      <w:jc w:val="both"/>
    </w:pPr>
    <w:rPr>
      <w:rFonts w:ascii="Arial" w:hAnsi="Arial" w:eastAsia="Times New Roman" w:cs="Times New Roman"/>
      <w:spacing w:val="5"/>
      <w:sz w:val="20"/>
      <w:szCs w:val="20"/>
      <w:lang w:val="en-GB" w:eastAsia="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70</TotalTime>
  <Application>LibreOffice/5.3.0.3$Windows_x86 LibreOffice_project/7074905676c47b82bbcfbea1aeefc84afe1c50e1</Application>
  <Pages>7</Pages>
  <Words>3400</Words>
  <Characters>18423</Characters>
  <CharactersWithSpaces>22438</CharactersWithSpaces>
  <Paragraphs>266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2014-03-21T08:26:00Z</dcterms:created>
  <dc:creator>HliAS</dc:creator>
  <dc:description/>
  <dc:language>el-GR</dc:language>
  <cp:lastModifiedBy/>
  <cp:lastPrinted>2017-05-02T13:26:19Z</cp:lastPrinted>
  <dcterms:modified xsi:type="dcterms:W3CDTF">2017-05-02T13:25:56Z</dcterms:modified>
  <cp:revision>18</cp:revision>
  <dc:subject/>
  <dc:title/>
</cp:coreProperties>
</file>