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18"/>
        <w:ind w:left="0" w:right="-52" w:hanging="0"/>
        <w:jc w:val="center"/>
        <w:rPr/>
      </w:pPr>
      <w:r>
        <w:rPr/>
      </w:r>
    </w:p>
    <w:p>
      <w:pPr>
        <w:pStyle w:val="Style18"/>
        <w:ind w:left="0" w:right="-52" w:hanging="0"/>
        <w:jc w:val="center"/>
        <w:rPr/>
      </w:pPr>
      <w:r>
        <w:rPr/>
      </w:r>
    </w:p>
    <w:p>
      <w:pPr>
        <w:pStyle w:val="3"/>
        <w:numPr>
          <w:ilvl w:val="2"/>
          <w:numId w:val="1"/>
        </w:numPr>
        <w:tabs>
          <w:tab w:val="left" w:pos="6663" w:leader="none"/>
        </w:tabs>
        <w:ind w:left="0" w:right="-1044" w:hanging="0"/>
        <w:jc w:val="both"/>
        <w:rPr/>
      </w:pPr>
      <w:r>
        <w:rPr/>
        <w:t>ΕΛΛΗΝΙΚΗ ΔΗΜΟΚΡΑΤΙΑ</w:t>
        <w:tab/>
        <w:t>ΠΡΟΜΗΘΕΙΑ</w:t>
      </w:r>
    </w:p>
    <w:p>
      <w:pPr>
        <w:pStyle w:val="3"/>
        <w:numPr>
          <w:ilvl w:val="2"/>
          <w:numId w:val="1"/>
        </w:numPr>
        <w:tabs>
          <w:tab w:val="left" w:pos="5387" w:leader="none"/>
        </w:tabs>
        <w:ind w:left="0" w:right="-1044" w:hanging="0"/>
        <w:jc w:val="both"/>
        <w:rPr/>
      </w:pPr>
      <w:r>
        <w:rPr/>
        <w:t>ΔΗΜΟΣ ΛΕΒΑΔΕΩΝ</w:t>
        <w:tab/>
        <w:t xml:space="preserve">   ΗΛΕΚΤΡΟΝΙΚΟΥ ΕΞΟΠΛΙΣΜΟΥ</w:t>
      </w:r>
    </w:p>
    <w:p>
      <w:pPr>
        <w:pStyle w:val="3"/>
        <w:numPr>
          <w:ilvl w:val="2"/>
          <w:numId w:val="1"/>
        </w:numPr>
        <w:tabs>
          <w:tab w:val="left" w:pos="4820" w:leader="none"/>
          <w:tab w:val="left" w:pos="5387" w:leader="none"/>
        </w:tabs>
        <w:ind w:left="720" w:right="-1044" w:hanging="720"/>
        <w:jc w:val="both"/>
        <w:rPr/>
      </w:pPr>
      <w:r>
        <w:rPr>
          <w:bCs/>
          <w:color w:val="auto"/>
        </w:rPr>
        <w:t>ΑΡ. ΜΕΛΕΤΗΣ:</w:t>
      </w:r>
      <w:r>
        <w:rPr>
          <w:bCs/>
          <w:color w:val="auto"/>
          <w:lang w:val="en-US"/>
        </w:rPr>
        <w:t xml:space="preserve">  </w:t>
      </w:r>
      <w:r>
        <w:rPr>
          <w:bCs/>
          <w:color w:val="auto"/>
          <w:lang w:val="el-GR"/>
        </w:rPr>
        <w:t>6</w:t>
      </w:r>
      <w:r>
        <w:rPr>
          <w:bCs/>
          <w:color w:val="auto"/>
        </w:rPr>
        <w:t>/20</w:t>
      </w:r>
      <w:r>
        <w:rPr>
          <w:bCs/>
          <w:color w:val="auto"/>
          <w:lang w:val="en-US"/>
        </w:rPr>
        <w:t>1</w:t>
      </w:r>
      <w:r>
        <w:rPr>
          <w:bCs/>
          <w:color w:val="auto"/>
          <w:lang w:val="el-GR"/>
        </w:rPr>
        <w:t>7</w:t>
      </w:r>
      <w:r>
        <w:rPr>
          <w:bCs/>
          <w:color w:val="auto"/>
        </w:rPr>
        <w:t xml:space="preserve"> (</w:t>
      </w:r>
      <w:r>
        <w:rPr>
          <w:bCs/>
          <w:color w:val="auto"/>
          <w:lang w:val="en-US"/>
        </w:rPr>
        <w:t>8</w:t>
      </w:r>
      <w:r>
        <w:rPr>
          <w:bCs/>
          <w:color w:val="auto"/>
        </w:rPr>
        <w:t>-</w:t>
      </w:r>
      <w:r>
        <w:rPr>
          <w:bCs/>
          <w:color w:val="auto"/>
          <w:lang w:val="el-GR"/>
        </w:rPr>
        <w:t>6</w:t>
      </w:r>
      <w:r>
        <w:rPr>
          <w:bCs/>
          <w:color w:val="auto"/>
        </w:rPr>
        <w:t>-20</w:t>
      </w:r>
      <w:r>
        <w:rPr>
          <w:bCs/>
          <w:color w:val="auto"/>
          <w:lang w:val="en-US"/>
        </w:rPr>
        <w:t>1</w:t>
      </w:r>
      <w:r>
        <w:rPr>
          <w:bCs/>
          <w:color w:val="auto"/>
          <w:lang w:val="el-GR"/>
        </w:rPr>
        <w:t>7</w:t>
      </w:r>
      <w:r>
        <w:rPr>
          <w:bCs/>
          <w:color w:val="auto"/>
        </w:rPr>
        <w:t>)</w:t>
      </w:r>
    </w:p>
    <w:p>
      <w:pPr>
        <w:pStyle w:val="3"/>
        <w:numPr>
          <w:ilvl w:val="2"/>
          <w:numId w:val="1"/>
        </w:numPr>
        <w:tabs>
          <w:tab w:val="left" w:pos="4820" w:leader="none"/>
          <w:tab w:val="left" w:pos="5387" w:leader="none"/>
        </w:tabs>
        <w:ind w:left="720" w:right="-1044" w:hanging="720"/>
        <w:jc w:val="both"/>
        <w:rPr/>
      </w:pPr>
      <w:r>
        <w:rPr>
          <w:bCs/>
          <w:color w:val="auto"/>
        </w:rPr>
        <w:t xml:space="preserve">ΑΡ. ΠΡΩΤ.:  </w:t>
      </w:r>
      <w:r>
        <w:rPr>
          <w:rFonts w:eastAsia="Arial Unicode MS;Arial" w:cs="Segoe UI"/>
          <w:bCs/>
          <w:color w:val="auto"/>
          <w:sz w:val="24"/>
          <w:szCs w:val="24"/>
          <w:u w:val="none"/>
          <w:lang w:val="en-US"/>
        </w:rPr>
        <w:t>14677</w:t>
      </w:r>
      <w:r>
        <w:rPr>
          <w:bCs/>
          <w:color w:val="auto"/>
        </w:rPr>
        <w:t xml:space="preserve"> / </w:t>
      </w:r>
      <w:r>
        <w:rPr>
          <w:bCs/>
          <w:color w:val="auto"/>
          <w:lang w:val="en-US"/>
        </w:rPr>
        <w:t>8</w:t>
      </w:r>
      <w:r>
        <w:rPr>
          <w:bCs/>
          <w:color w:val="auto"/>
        </w:rPr>
        <w:t>-</w:t>
      </w:r>
      <w:r>
        <w:rPr>
          <w:bCs/>
          <w:color w:val="auto"/>
          <w:lang w:val="el-GR"/>
        </w:rPr>
        <w:t>6</w:t>
      </w:r>
      <w:r>
        <w:rPr>
          <w:bCs/>
          <w:color w:val="auto"/>
        </w:rPr>
        <w:t>-2017</w:t>
      </w:r>
    </w:p>
    <w:p>
      <w:pPr>
        <w:pStyle w:val="3"/>
        <w:numPr>
          <w:ilvl w:val="2"/>
          <w:numId w:val="1"/>
        </w:numPr>
        <w:tabs>
          <w:tab w:val="left" w:pos="6663" w:leader="none"/>
        </w:tabs>
        <w:ind w:left="0" w:right="-1044" w:hanging="0"/>
        <w:jc w:val="both"/>
        <w:rPr>
          <w:bCs/>
        </w:rPr>
      </w:pPr>
      <w:r>
        <w:rPr>
          <w:bCs/>
        </w:rPr>
      </w:r>
    </w:p>
    <w:p>
      <w:pPr>
        <w:pStyle w:val="3"/>
        <w:numPr>
          <w:ilvl w:val="2"/>
          <w:numId w:val="1"/>
        </w:numPr>
        <w:tabs>
          <w:tab w:val="left" w:pos="6663" w:leader="none"/>
        </w:tabs>
        <w:ind w:left="0" w:right="-1044" w:hanging="0"/>
        <w:jc w:val="both"/>
        <w:rPr>
          <w:bCs/>
        </w:rPr>
      </w:pPr>
      <w:r>
        <w:rPr>
          <w:bCs/>
        </w:rPr>
      </w:r>
    </w:p>
    <w:p>
      <w:pPr>
        <w:pStyle w:val="Style18"/>
        <w:rPr>
          <w:bCs/>
        </w:rPr>
      </w:pPr>
      <w:r>
        <w:rPr>
          <w:bCs/>
        </w:rPr>
      </w:r>
    </w:p>
    <w:p>
      <w:pPr>
        <w:pStyle w:val="Style18"/>
        <w:rPr>
          <w:bCs/>
        </w:rPr>
      </w:pPr>
      <w:r>
        <w:rPr>
          <w:bCs/>
        </w:rPr>
      </w:r>
    </w:p>
    <w:p>
      <w:pPr>
        <w:pStyle w:val="Style18"/>
        <w:jc w:val="center"/>
        <w:rPr>
          <w:b/>
          <w:b/>
          <w:sz w:val="32"/>
        </w:rPr>
      </w:pPr>
      <w:r>
        <w:rPr>
          <w:b/>
          <w:sz w:val="32"/>
        </w:rPr>
        <w:t>ΣΥΜΠΛΗΡΩΣΗ ΤΙΜΟΛΟΓΙΟΥ ΠΡΟΣΦΟΡΑΣ</w:t>
      </w:r>
    </w:p>
    <w:p>
      <w:pPr>
        <w:pStyle w:val="Style18"/>
        <w:jc w:val="center"/>
        <w:rPr>
          <w:b/>
          <w:b/>
          <w:sz w:val="32"/>
        </w:rPr>
      </w:pPr>
      <w:r>
        <w:rPr>
          <w:b/>
          <w:sz w:val="32"/>
        </w:rPr>
      </w:r>
    </w:p>
    <w:tbl>
      <w:tblPr>
        <w:tblW w:w="9528" w:type="dxa"/>
        <w:jc w:val="left"/>
        <w:tblInd w:w="0" w:type="dxa"/>
        <w:tblBorders/>
        <w:tblCellMar>
          <w:top w:w="0" w:type="dxa"/>
          <w:left w:w="30" w:type="dxa"/>
          <w:bottom w:w="0" w:type="dxa"/>
          <w:right w:w="30" w:type="dxa"/>
        </w:tblCellMar>
      </w:tblPr>
      <w:tblGrid>
        <w:gridCol w:w="739"/>
        <w:gridCol w:w="4111"/>
        <w:gridCol w:w="1276"/>
        <w:gridCol w:w="1701"/>
        <w:gridCol w:w="1701"/>
      </w:tblGrid>
      <w:tr>
        <w:trPr/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/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Α/Α</w:t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Περιγραφή</w:t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Ποσότητα</w:t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Τιμή Μονάδας</w:t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Σύνολο</w:t>
            </w:r>
          </w:p>
        </w:tc>
      </w:tr>
      <w:tr>
        <w:trPr/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color w:val="000000"/>
                <w:lang w:val="el-GR"/>
              </w:rPr>
              <w:t>Τηλεόραση (</w:t>
            </w:r>
            <w:r>
              <w:rPr>
                <w:rFonts w:cs="Arial" w:ascii="Arial" w:hAnsi="Arial"/>
                <w:color w:val="000000"/>
                <w:lang w:val="en-US"/>
              </w:rPr>
              <w:t>Samrt TV)</w:t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  <w:t>2</w:t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val="el-GR"/>
              </w:rPr>
            </w:pPr>
            <w:r>
              <w:rPr>
                <w:rFonts w:cs="Arial" w:ascii="Arial" w:hAnsi="Arial"/>
                <w:color w:val="000000"/>
                <w:lang w:val="el-GR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val="el-GR"/>
              </w:rPr>
            </w:pPr>
            <w:r>
              <w:rPr>
                <w:rFonts w:cs="Arial" w:ascii="Arial" w:hAnsi="Arial"/>
                <w:color w:val="000000"/>
                <w:lang w:val="el-GR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val="el-GR"/>
              </w:rPr>
            </w:pPr>
            <w:r>
              <w:rPr>
                <w:rFonts w:cs="Arial" w:ascii="Arial" w:hAnsi="Arial"/>
                <w:color w:val="000000"/>
                <w:lang w:val="el-GR"/>
              </w:rPr>
            </w:r>
          </w:p>
        </w:tc>
      </w:tr>
      <w:tr>
        <w:trPr/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lang w:val="en-US"/>
              </w:rPr>
              <w:t>2</w:t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Ηχητικό Σύστημα</w:t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l-GR"/>
              </w:rPr>
            </w:pPr>
            <w:r>
              <w:rPr>
                <w:rFonts w:cs="Arial" w:ascii="Arial" w:hAnsi="Arial"/>
                <w:lang w:val="el-GR"/>
              </w:rPr>
              <w:t>3</w:t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11" w:type="dxa"/>
            <w:tcBorders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6" w:type="dxa"/>
            <w:tcBorders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/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Σύνολο</w:t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>
          <w:trHeight w:val="264" w:hRule="atLeast"/>
        </w:trPr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  <w:p>
            <w:pPr>
              <w:pStyle w:val="Normal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</w:tr>
      <w:tr>
        <w:trPr/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Φ.Π.Α. 24%</w:t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701" w:type="dxa"/>
            <w:tcBorders>
              <w:bottom w:val="double" w:sz="6" w:space="0" w:color="000000"/>
              <w:insideH w:val="double" w:sz="6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  <w:p>
            <w:pPr>
              <w:pStyle w:val="Normal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</w:tr>
      <w:tr>
        <w:trPr/>
        <w:tc>
          <w:tcPr>
            <w:tcW w:w="739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411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000000"/>
                <w:sz w:val="28"/>
              </w:rPr>
            </w:pPr>
            <w:r>
              <w:rPr>
                <w:rFonts w:cs="Arial" w:ascii="Arial" w:hAnsi="Arial"/>
                <w:b/>
                <w:color w:val="000000"/>
                <w:sz w:val="28"/>
              </w:rPr>
              <w:t>Σύνολο με ΦΠΑ {σε € (ευρώ)}</w:t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Style18"/>
        <w:rPr/>
      </w:pPr>
      <w:r>
        <w:rPr/>
      </w:r>
    </w:p>
    <w:p>
      <w:pPr>
        <w:pStyle w:val="Style18"/>
        <w:rPr/>
      </w:pPr>
      <w:r>
        <w:rPr/>
      </w:r>
    </w:p>
    <w:p>
      <w:pPr>
        <w:pStyle w:val="Style18"/>
        <w:rPr>
          <w:lang w:val="en-US"/>
        </w:rPr>
      </w:pPr>
      <w:r>
        <w:rPr>
          <w:lang w:val="en-US"/>
        </w:rPr>
      </w:r>
    </w:p>
    <w:p>
      <w:pPr>
        <w:pStyle w:val="Style18"/>
        <w:rPr>
          <w:lang w:val="en-US"/>
        </w:rPr>
      </w:pPr>
      <w:r>
        <w:rPr>
          <w:lang w:val="en-US"/>
        </w:rPr>
      </w:r>
    </w:p>
    <w:p>
      <w:pPr>
        <w:pStyle w:val="Style18"/>
        <w:rPr>
          <w:lang w:val="en-US"/>
        </w:rPr>
      </w:pPr>
      <w:r>
        <w:rPr>
          <w:lang w:val="en-US"/>
        </w:rPr>
      </w:r>
    </w:p>
    <w:p>
      <w:pPr>
        <w:pStyle w:val="Style18"/>
        <w:ind w:left="0" w:right="-52" w:hanging="0"/>
        <w:jc w:val="center"/>
        <w:rPr/>
      </w:pPr>
      <w:r>
        <w:rPr>
          <w:color w:val="auto"/>
        </w:rPr>
        <w:t xml:space="preserve">ΛΙΒΑΔΕΙΑ  </w:t>
      </w:r>
      <w:r>
        <w:rPr>
          <w:color w:val="auto"/>
          <w:lang w:val="el-GR"/>
        </w:rPr>
        <w:t>8</w:t>
      </w:r>
      <w:r>
        <w:rPr>
          <w:color w:val="auto"/>
        </w:rPr>
        <w:t>/</w:t>
      </w:r>
      <w:r>
        <w:rPr>
          <w:color w:val="auto"/>
          <w:lang w:val="el-GR"/>
        </w:rPr>
        <w:t>6</w:t>
      </w:r>
      <w:r>
        <w:rPr>
          <w:color w:val="auto"/>
        </w:rPr>
        <w:t>/2017</w:t>
      </w:r>
    </w:p>
    <w:p>
      <w:pPr>
        <w:pStyle w:val="Style18"/>
        <w:ind w:left="0" w:right="-52" w:hanging="0"/>
        <w:jc w:val="center"/>
        <w:rPr/>
      </w:pPr>
      <w:r>
        <w:rPr/>
      </w:r>
    </w:p>
    <w:p>
      <w:pPr>
        <w:pStyle w:val="Style18"/>
        <w:ind w:left="0" w:right="-52" w:hanging="0"/>
        <w:jc w:val="center"/>
        <w:rPr/>
      </w:pPr>
      <w:r>
        <w:rPr/>
        <w:t xml:space="preserve">Ο </w:t>
      </w:r>
      <w:r>
        <w:rPr/>
        <w:t>ΠΡΟ</w:t>
      </w:r>
      <w:r>
        <w:rPr/>
        <w:t>Σ</w:t>
      </w:r>
      <w:r>
        <w:rPr/>
        <w:t>ΦΕΡΩΝ</w:t>
      </w:r>
    </w:p>
    <w:p>
      <w:pPr>
        <w:pStyle w:val="Style18"/>
        <w:ind w:left="0" w:right="-52" w:hanging="0"/>
        <w:jc w:val="center"/>
        <w:rPr/>
      </w:pPr>
      <w:r>
        <w:rPr/>
      </w:r>
    </w:p>
    <w:p>
      <w:pPr>
        <w:pStyle w:val="Style18"/>
        <w:ind w:left="0" w:right="-52" w:hanging="0"/>
        <w:jc w:val="center"/>
        <w:rPr/>
      </w:pPr>
      <w:r>
        <w:rPr/>
      </w:r>
    </w:p>
    <w:p>
      <w:pPr>
        <w:pStyle w:val="Style18"/>
        <w:ind w:left="0" w:right="-52" w:hanging="0"/>
        <w:jc w:val="center"/>
        <w:rPr/>
      </w:pPr>
      <w:r>
        <w:rPr/>
      </w:r>
    </w:p>
    <w:p>
      <w:pPr>
        <w:pStyle w:val="Style18"/>
        <w:ind w:left="0" w:right="-52" w:hanging="0"/>
        <w:jc w:val="center"/>
        <w:rPr>
          <w:rFonts w:eastAsia="Symbol" w:cs="Symbol"/>
        </w:rPr>
      </w:pPr>
      <w:r>
        <w:rPr>
          <w:rFonts w:eastAsia="Symbol" w:cs="Symbol"/>
        </w:rPr>
      </w:r>
    </w:p>
    <w:sectPr>
      <w:footerReference w:type="default" r:id="rId2"/>
      <w:type w:val="nextPage"/>
      <w:pgSz w:w="11906" w:h="16838"/>
      <w:pgMar w:left="1134" w:right="1134" w:header="0" w:top="1134" w:footer="72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swiss"/>
    <w:pitch w:val="variable"/>
  </w:font>
  <w:font w:name="Verdana">
    <w:charset w:val="a1"/>
    <w:family w:val="swiss"/>
    <w:pitch w:val="variable"/>
  </w:font>
  <w:font w:name="Symbol">
    <w:charset w:val="01"/>
    <w:family w:val="roman"/>
    <w:pitch w:val="variable"/>
  </w:font>
  <w:font w:name="Courier New">
    <w:charset w:val="a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a1"/>
    <w:family w:val="swiss"/>
    <w:pitch w:val="variable"/>
  </w:font>
  <w:font w:name="Tahoma">
    <w:charset w:val="a1"/>
    <w:family w:val="swiss"/>
    <w:pitch w:val="variable"/>
  </w:font>
  <w:font w:name="Helvetica">
    <w:altName w:val="Arial"/>
    <w:charset w:val="a1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jc w:val="center"/>
      <w:rPr>
        <w:lang w:val="en-US"/>
      </w:rPr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pStyle w:val="3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pStyle w:val="4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pStyle w:val="5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pStyle w:val="6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pStyle w:val="7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pStyle w:val="8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pStyle w:val="9"/>
      <w:numFmt w:val="none"/>
      <w:suff w:val="nothing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el-G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el-GR" w:eastAsia="zh-CN" w:bidi="ar-SA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center"/>
      <w:outlineLvl w:val="0"/>
      <w:outlineLvl w:val="0"/>
    </w:pPr>
    <w:rPr>
      <w:b/>
      <w:sz w:val="28"/>
    </w:rPr>
  </w:style>
  <w:style w:type="paragraph" w:styleId="2">
    <w:name w:val="Heading 2"/>
    <w:basedOn w:val="Normal"/>
    <w:next w:val="Normal"/>
    <w:qFormat/>
    <w:pPr>
      <w:keepNext/>
      <w:numPr>
        <w:ilvl w:val="1"/>
        <w:numId w:val="1"/>
      </w:numPr>
      <w:spacing w:before="0" w:after="120"/>
      <w:jc w:val="center"/>
      <w:outlineLvl w:val="1"/>
      <w:outlineLvl w:val="1"/>
    </w:pPr>
    <w:rPr>
      <w:b/>
      <w:sz w:val="24"/>
    </w:rPr>
  </w:style>
  <w:style w:type="paragraph" w:styleId="3">
    <w:name w:val="Heading 3"/>
    <w:basedOn w:val="2"/>
    <w:next w:val="Normal"/>
    <w:qFormat/>
    <w:pPr>
      <w:numPr>
        <w:ilvl w:val="2"/>
        <w:numId w:val="1"/>
      </w:numPr>
      <w:outlineLvl w:val="2"/>
      <w:outlineLvl w:val="2"/>
    </w:pPr>
    <w:rPr/>
  </w:style>
  <w:style w:type="paragraph" w:styleId="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  <w:outlineLvl w:val="3"/>
    </w:pPr>
    <w:rPr>
      <w:rFonts w:ascii="Arial" w:hAnsi="Arial" w:cs="Arial"/>
      <w:b/>
    </w:rPr>
  </w:style>
  <w:style w:type="paragraph" w:styleId="5">
    <w:name w:val="Heading 5"/>
    <w:basedOn w:val="Normal"/>
    <w:next w:val="Normal"/>
    <w:qFormat/>
    <w:pPr>
      <w:keepNext/>
      <w:numPr>
        <w:ilvl w:val="4"/>
        <w:numId w:val="1"/>
      </w:numPr>
      <w:ind w:left="0" w:right="-58" w:hanging="0"/>
      <w:jc w:val="both"/>
      <w:outlineLvl w:val="4"/>
      <w:outlineLvl w:val="4"/>
    </w:pPr>
    <w:rPr>
      <w:b/>
    </w:rPr>
  </w:style>
  <w:style w:type="paragraph" w:styleId="6">
    <w:name w:val="Heading 6"/>
    <w:basedOn w:val="Normal"/>
    <w:next w:val="Normal"/>
    <w:qFormat/>
    <w:pPr>
      <w:keepNext/>
      <w:numPr>
        <w:ilvl w:val="5"/>
        <w:numId w:val="1"/>
      </w:numPr>
      <w:ind w:left="0" w:right="-58" w:hanging="0"/>
      <w:jc w:val="center"/>
      <w:outlineLvl w:val="5"/>
      <w:outlineLvl w:val="5"/>
    </w:pPr>
    <w:rPr>
      <w:b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  <w:outlineLvl w:val="6"/>
    </w:pPr>
    <w:rPr>
      <w:rFonts w:ascii="Arial" w:hAnsi="Arial" w:cs="Arial"/>
      <w:sz w:val="20"/>
      <w:lang w:val="en-GB"/>
    </w:rPr>
  </w:style>
  <w:style w:type="paragraph" w:styleId="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  <w:outlineLvl w:val="7"/>
    </w:pPr>
    <w:rPr>
      <w:rFonts w:ascii="Arial" w:hAnsi="Arial" w:cs="Arial"/>
      <w:i/>
      <w:sz w:val="20"/>
      <w:lang w:val="en-GB"/>
    </w:rPr>
  </w:style>
  <w:style w:type="paragraph" w:styleId="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  <w:outlineLvl w:val="8"/>
    </w:pPr>
    <w:rPr>
      <w:rFonts w:ascii="Arial" w:hAnsi="Arial" w:cs="Arial"/>
      <w:b/>
      <w:i/>
      <w:sz w:val="18"/>
      <w:lang w:val="en-GB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Symbol" w:hAnsi="Symbol" w:cs="Symbol"/>
      <w:color w:val="FF0000"/>
    </w:rPr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20z0">
    <w:name w:val="WW8Num20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Symbol" w:hAnsi="Symbol" w:cs="Symbol"/>
      <w:color w:val="FF0000"/>
    </w:rPr>
  </w:style>
  <w:style w:type="character" w:styleId="WW8Num25z0">
    <w:name w:val="WW8Num25z0"/>
    <w:qFormat/>
    <w:rPr>
      <w:rFonts w:ascii="Symbol" w:hAnsi="Symbol" w:cs="Symbol"/>
      <w:color w:val="FF0000"/>
    </w:rPr>
  </w:style>
  <w:style w:type="character" w:styleId="WW8Num26z0">
    <w:name w:val="WW8Num26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Symbol" w:hAnsi="Symbol" w:cs="Symbol"/>
      <w:color w:val="FF0000"/>
    </w:rPr>
  </w:style>
  <w:style w:type="character" w:styleId="WW8Num32z0">
    <w:name w:val="WW8Num32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>
      <w:rFonts w:ascii="Times New Roman" w:hAnsi="Times New Roman" w:cs="Times New Roman"/>
    </w:rPr>
  </w:style>
  <w:style w:type="character" w:styleId="WW8Num41z0">
    <w:name w:val="WW8Num41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Symbol" w:hAnsi="Symbol" w:cs="Symbol"/>
      <w:sz w:val="20"/>
    </w:rPr>
  </w:style>
  <w:style w:type="character" w:styleId="WW8Num42z1">
    <w:name w:val="WW8Num42z1"/>
    <w:qFormat/>
    <w:rPr>
      <w:rFonts w:ascii="Courier New" w:hAnsi="Courier New" w:cs="Courier New"/>
      <w:sz w:val="20"/>
    </w:rPr>
  </w:style>
  <w:style w:type="character" w:styleId="WW8Num42z2">
    <w:name w:val="WW8Num42z2"/>
    <w:qFormat/>
    <w:rPr>
      <w:rFonts w:ascii="Wingdings" w:hAnsi="Wingdings" w:cs="Wingdings"/>
      <w:sz w:val="20"/>
    </w:rPr>
  </w:style>
  <w:style w:type="character" w:styleId="WW8Num43z0">
    <w:name w:val="WW8Num43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>
      <w:rFonts w:ascii="Verdana" w:hAnsi="Verdana" w:cs="Verdana"/>
      <w:b w:val="false"/>
      <w:i w:val="false"/>
      <w:sz w:val="20"/>
      <w:szCs w:val="20"/>
    </w:rPr>
  </w:style>
  <w:style w:type="character" w:styleId="WW8Num44z1">
    <w:name w:val="WW8Num44z1"/>
    <w:qFormat/>
    <w:rPr/>
  </w:style>
  <w:style w:type="character" w:styleId="WW8Num44z2">
    <w:name w:val="WW8Num44z2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/>
  </w:style>
  <w:style w:type="character" w:styleId="WW8Num45z1">
    <w:name w:val="WW8Num45z1"/>
    <w:qFormat/>
    <w:rPr/>
  </w:style>
  <w:style w:type="character" w:styleId="WW8Num45z2">
    <w:name w:val="WW8Num45z2"/>
    <w:qFormat/>
    <w:rPr/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6z0">
    <w:name w:val="WW8Num46z0"/>
    <w:qFormat/>
    <w:rPr>
      <w:rFonts w:ascii="Wingdings" w:hAnsi="Wingdings" w:cs="Wingdings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3">
    <w:name w:val="WW8Num46z3"/>
    <w:qFormat/>
    <w:rPr>
      <w:rFonts w:ascii="Symbol" w:hAnsi="Symbol" w:cs="Symbol"/>
    </w:rPr>
  </w:style>
  <w:style w:type="character" w:styleId="Style5">
    <w:name w:val="Προεπιλεγμένη γραμματοσειρά"/>
    <w:qFormat/>
    <w:rPr/>
  </w:style>
  <w:style w:type="character" w:styleId="Style6">
    <w:name w:val="Αριθμός σελίδας"/>
    <w:rPr>
      <w:rFonts w:ascii="Times New Roman" w:hAnsi="Times New Roman" w:cs="Times New Roman"/>
      <w:sz w:val="20"/>
    </w:rPr>
  </w:style>
  <w:style w:type="character" w:styleId="Style7">
    <w:name w:val="Έντονη έμφαση"/>
    <w:qFormat/>
    <w:rPr>
      <w:b/>
      <w:bCs/>
    </w:rPr>
  </w:style>
  <w:style w:type="character" w:styleId="Style8">
    <w:name w:val="Σύνδεσμος διαδικτύου"/>
    <w:rPr>
      <w:color w:val="0000FF"/>
      <w:u w:val="single"/>
    </w:rPr>
  </w:style>
  <w:style w:type="character" w:styleId="Smallbold1">
    <w:name w:val="small_bold1"/>
    <w:qFormat/>
    <w:rPr>
      <w:rFonts w:ascii="Arial" w:hAnsi="Arial" w:cs="Arial"/>
      <w:b/>
      <w:bCs/>
      <w:strike w:val="false"/>
      <w:dstrike w:val="false"/>
      <w:color w:val="343434"/>
      <w:sz w:val="17"/>
      <w:szCs w:val="17"/>
      <w:u w:val="none"/>
    </w:rPr>
  </w:style>
  <w:style w:type="character" w:styleId="3Char">
    <w:name w:val="Επικεφαλίδα 3 Char"/>
    <w:qFormat/>
    <w:rPr>
      <w:b/>
      <w:sz w:val="24"/>
    </w:rPr>
  </w:style>
  <w:style w:type="character" w:styleId="2Char">
    <w:name w:val="Επικεφαλίδα 2 Char"/>
    <w:qFormat/>
    <w:rPr>
      <w:b/>
      <w:sz w:val="24"/>
    </w:rPr>
  </w:style>
  <w:style w:type="character" w:styleId="Char">
    <w:name w:val="Σώμα κειμένου Char"/>
    <w:qFormat/>
    <w:rPr/>
  </w:style>
  <w:style w:type="character" w:styleId="Style9">
    <w:name w:val="Χαρακτήρες αρίθμησης"/>
    <w:qFormat/>
    <w:rPr/>
  </w:style>
  <w:style w:type="character" w:styleId="Style10">
    <w:name w:val="Έμφαση"/>
    <w:qFormat/>
    <w:rPr>
      <w:i/>
      <w:iCs/>
    </w:rPr>
  </w:style>
  <w:style w:type="paragraph" w:styleId="Style11">
    <w:name w:val="Επικεφαλίδα"/>
    <w:basedOn w:val="Normal"/>
    <w:next w:val="Style12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2">
    <w:name w:val="Body Text"/>
    <w:basedOn w:val="Normal"/>
    <w:pPr>
      <w:ind w:left="0" w:right="-58" w:hanging="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Ευρετήριο"/>
    <w:basedOn w:val="Normal"/>
    <w:qFormat/>
    <w:pPr>
      <w:suppressLineNumbers/>
    </w:pPr>
    <w:rPr>
      <w:rFonts w:cs="Mangal"/>
    </w:rPr>
  </w:style>
  <w:style w:type="paragraph" w:styleId="Style16">
    <w:name w:val="Χάρτης εγγράφου"/>
    <w:basedOn w:val="Normal"/>
    <w:qFormat/>
    <w:pPr>
      <w:shd w:fill="000080" w:val="clear"/>
    </w:pPr>
    <w:rPr>
      <w:rFonts w:ascii="Tahoma" w:hAnsi="Tahoma" w:cs="Tahoma"/>
    </w:rPr>
  </w:style>
  <w:style w:type="paragraph" w:styleId="11">
    <w:name w:val="TOC 1"/>
    <w:basedOn w:val="Normal"/>
    <w:next w:val="Normal"/>
    <w:pPr>
      <w:spacing w:lineRule="auto" w:line="360"/>
    </w:pPr>
    <w:rPr>
      <w:b/>
      <w:caps/>
      <w:lang w:val="el-GR" w:eastAsia="el-GR"/>
    </w:rPr>
  </w:style>
  <w:style w:type="paragraph" w:styleId="21">
    <w:name w:val="TOC 2"/>
    <w:basedOn w:val="11"/>
    <w:next w:val="Normal"/>
    <w:pPr>
      <w:tabs>
        <w:tab w:val="left" w:pos="1985" w:leader="none"/>
        <w:tab w:val="right" w:pos="9639" w:leader="dot"/>
      </w:tabs>
      <w:spacing w:before="0" w:after="0"/>
      <w:ind w:left="1985" w:right="0" w:hanging="1701"/>
      <w:jc w:val="left"/>
    </w:pPr>
    <w:rPr>
      <w:b w:val="false"/>
      <w:caps w:val="false"/>
      <w:smallCaps w:val="false"/>
      <w:sz w:val="24"/>
      <w:lang w:val="el-GR"/>
    </w:rPr>
  </w:style>
  <w:style w:type="paragraph" w:styleId="Style17">
    <w:name w:val="Footnote Text"/>
    <w:basedOn w:val="Normal"/>
    <w:pPr/>
    <w:rPr>
      <w:sz w:val="20"/>
    </w:rPr>
  </w:style>
  <w:style w:type="paragraph" w:styleId="Style18">
    <w:name w:val="Header"/>
    <w:basedOn w:val="Normal"/>
    <w:pPr>
      <w:tabs>
        <w:tab w:val="center" w:pos="4153" w:leader="none"/>
        <w:tab w:val="right" w:pos="8306" w:leader="none"/>
      </w:tabs>
    </w:pPr>
    <w:rPr/>
  </w:style>
  <w:style w:type="paragraph" w:styleId="Style19">
    <w:name w:val="Footer"/>
    <w:basedOn w:val="Normal"/>
    <w:pPr>
      <w:tabs>
        <w:tab w:val="center" w:pos="4153" w:leader="none"/>
        <w:tab w:val="right" w:pos="8306" w:leader="none"/>
      </w:tabs>
    </w:pPr>
    <w:rPr/>
  </w:style>
  <w:style w:type="paragraph" w:styleId="31">
    <w:name w:val="TOC 3"/>
    <w:basedOn w:val="Normal"/>
    <w:next w:val="Normal"/>
    <w:pPr>
      <w:ind w:left="400" w:right="0" w:hanging="0"/>
    </w:pPr>
    <w:rPr>
      <w:i/>
    </w:rPr>
  </w:style>
  <w:style w:type="paragraph" w:styleId="41">
    <w:name w:val="TOC 4"/>
    <w:basedOn w:val="Normal"/>
    <w:next w:val="Normal"/>
    <w:pPr>
      <w:ind w:left="600" w:right="0" w:hanging="0"/>
    </w:pPr>
    <w:rPr>
      <w:sz w:val="18"/>
    </w:rPr>
  </w:style>
  <w:style w:type="paragraph" w:styleId="51">
    <w:name w:val="TOC 5"/>
    <w:basedOn w:val="Normal"/>
    <w:next w:val="Normal"/>
    <w:pPr>
      <w:ind w:left="800" w:right="0" w:hanging="0"/>
    </w:pPr>
    <w:rPr>
      <w:sz w:val="18"/>
    </w:rPr>
  </w:style>
  <w:style w:type="paragraph" w:styleId="61">
    <w:name w:val="TOC 6"/>
    <w:basedOn w:val="Normal"/>
    <w:next w:val="Normal"/>
    <w:pPr>
      <w:ind w:left="1000" w:right="0" w:hanging="0"/>
    </w:pPr>
    <w:rPr>
      <w:sz w:val="18"/>
    </w:rPr>
  </w:style>
  <w:style w:type="paragraph" w:styleId="71">
    <w:name w:val="TOC 7"/>
    <w:basedOn w:val="Normal"/>
    <w:next w:val="Normal"/>
    <w:pPr>
      <w:ind w:left="1200" w:right="0" w:hanging="0"/>
    </w:pPr>
    <w:rPr>
      <w:sz w:val="18"/>
    </w:rPr>
  </w:style>
  <w:style w:type="paragraph" w:styleId="81">
    <w:name w:val="TOC 8"/>
    <w:basedOn w:val="Normal"/>
    <w:next w:val="Normal"/>
    <w:pPr>
      <w:ind w:left="1400" w:right="0" w:hanging="0"/>
    </w:pPr>
    <w:rPr>
      <w:sz w:val="18"/>
    </w:rPr>
  </w:style>
  <w:style w:type="paragraph" w:styleId="91">
    <w:name w:val="TOC 9"/>
    <w:basedOn w:val="Normal"/>
    <w:next w:val="Normal"/>
    <w:pPr>
      <w:ind w:left="1600" w:right="0" w:hanging="0"/>
    </w:pPr>
    <w:rPr>
      <w:sz w:val="18"/>
    </w:rPr>
  </w:style>
  <w:style w:type="paragraph" w:styleId="Style20">
    <w:name w:val="Body Text Indent"/>
    <w:basedOn w:val="Normal"/>
    <w:pPr>
      <w:ind w:left="34" w:right="0" w:hanging="0"/>
    </w:pPr>
    <w:rPr/>
  </w:style>
  <w:style w:type="paragraph" w:styleId="22">
    <w:name w:val="Σώμα κείμενου 2"/>
    <w:basedOn w:val="Normal"/>
    <w:qFormat/>
    <w:pPr/>
    <w:rPr>
      <w:i/>
    </w:rPr>
  </w:style>
  <w:style w:type="paragraph" w:styleId="32">
    <w:name w:val="Σώμα κείμενου 3"/>
    <w:basedOn w:val="Normal"/>
    <w:qFormat/>
    <w:pPr>
      <w:tabs>
        <w:tab w:val="left" w:pos="851" w:leader="none"/>
      </w:tabs>
      <w:ind w:left="0" w:right="-113" w:hanging="0"/>
    </w:pPr>
    <w:rPr/>
  </w:style>
  <w:style w:type="paragraph" w:styleId="33">
    <w:name w:val="Σώμα κείμενου με εσοχή 3"/>
    <w:basedOn w:val="Normal"/>
    <w:qFormat/>
    <w:pPr>
      <w:ind w:left="340" w:right="0" w:hanging="0"/>
    </w:pPr>
    <w:rPr>
      <w:rFonts w:ascii="Arial" w:hAnsi="Arial" w:cs="Arial"/>
      <w:sz w:val="24"/>
    </w:rPr>
  </w:style>
  <w:style w:type="paragraph" w:styleId="23">
    <w:name w:val="Σώμα κείμενου με εσοχή 2"/>
    <w:basedOn w:val="Normal"/>
    <w:qFormat/>
    <w:pPr>
      <w:tabs>
        <w:tab w:val="left" w:pos="284" w:leader="none"/>
        <w:tab w:val="left" w:pos="426" w:leader="none"/>
      </w:tabs>
      <w:ind w:left="33" w:right="0" w:hanging="0"/>
    </w:pPr>
    <w:rPr/>
  </w:style>
  <w:style w:type="paragraph" w:styleId="Web">
    <w:name w:val="Κανονικό (Web)"/>
    <w:basedOn w:val="Normal"/>
    <w:qFormat/>
    <w:pPr>
      <w:spacing w:before="45" w:after="45"/>
      <w:ind w:left="45" w:right="45" w:hanging="0"/>
    </w:pPr>
    <w:rPr>
      <w:rFonts w:ascii="Tahoma" w:hAnsi="Tahoma" w:cs="Tahoma"/>
      <w:color w:val="000000"/>
      <w:sz w:val="17"/>
      <w:szCs w:val="17"/>
    </w:rPr>
  </w:style>
  <w:style w:type="paragraph" w:styleId="Style21">
    <w:name w:val="Κείμενο πλαισίου"/>
    <w:basedOn w:val="Normal"/>
    <w:qFormat/>
    <w:pPr/>
    <w:rPr>
      <w:rFonts w:ascii="Tahoma" w:hAnsi="Tahoma" w:cs="Tahoma"/>
      <w:sz w:val="16"/>
      <w:szCs w:val="16"/>
    </w:rPr>
  </w:style>
  <w:style w:type="paragraph" w:styleId="Text">
    <w:name w:val="text"/>
    <w:basedOn w:val="Normal"/>
    <w:qFormat/>
    <w:pPr>
      <w:spacing w:before="0" w:after="120"/>
      <w:ind w:left="3845" w:right="0" w:hanging="0"/>
    </w:pPr>
    <w:rPr>
      <w:rFonts w:ascii="Helvetica;Arial" w:hAnsi="Helvetica;Arial" w:cs="Helvetica;Arial"/>
      <w:sz w:val="22"/>
      <w:lang w:val="en-US"/>
    </w:rPr>
  </w:style>
  <w:style w:type="paragraph" w:styleId="Style22">
    <w:name w:val="Περιεχόμενα πίνακα"/>
    <w:basedOn w:val="Normal"/>
    <w:qFormat/>
    <w:pPr>
      <w:suppressLineNumbers/>
    </w:pPr>
    <w:rPr/>
  </w:style>
  <w:style w:type="paragraph" w:styleId="Style23">
    <w:name w:val="Επικεφαλίδα πίνακα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PAR-B-2</Template>
  <TotalTime>1262</TotalTime>
  <Application>LibreOffice/5.3.0.3$Windows_x86 LibreOffice_project/7074905676c47b82bbcfbea1aeefc84afe1c50e1</Application>
  <Pages>1</Pages>
  <Words>51</Words>
  <Characters>288</Characters>
  <CharactersWithSpaces>323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2008-12-22T12:19:00Z</dcterms:created>
  <dc:creator>ISO USER</dc:creator>
  <dc:description/>
  <dc:language>el-GR</dc:language>
  <cp:lastModifiedBy/>
  <cp:lastPrinted>2016-03-28T10:31:00Z</cp:lastPrinted>
  <dcterms:modified xsi:type="dcterms:W3CDTF">2017-09-05T10:39:27Z</dcterms:modified>
  <cp:revision>386</cp:revision>
  <dc:subject/>
  <dc:title>ΠΑΡΑΡΤΗΜΑ Γ’</dc:title>
</cp:coreProperties>
</file>